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160" w:line="240" w:lineRule="auto"/>
        <w:contextualSpacing w:val="0"/>
        <w:rPr/>
      </w:pPr>
      <w:r w:rsidDel="00000000" w:rsidR="00000000" w:rsidRPr="00000000">
        <w:rPr>
          <w:rFonts w:ascii="Arial" w:cs="Arial" w:eastAsia="Arial" w:hAnsi="Arial"/>
          <w:color w:val="801c0c"/>
          <w:sz w:val="27"/>
          <w:szCs w:val="27"/>
          <w:rtl w:val="0"/>
        </w:rPr>
        <w:t xml:space="preserve">Neon Sign Survey</w:t>
      </w:r>
      <w:r w:rsidDel="00000000" w:rsidR="00000000" w:rsidRPr="00000000">
        <w:rPr>
          <w:rtl w:val="0"/>
        </w:rPr>
      </w:r>
    </w:p>
    <w:p w:rsidR="00000000" w:rsidDel="00000000" w:rsidP="00000000" w:rsidRDefault="00000000" w:rsidRPr="00000000" w14:paraId="00000001">
      <w:pPr>
        <w:spacing w:after="160" w:line="240" w:lineRule="auto"/>
        <w:contextualSpacing w:val="0"/>
        <w:rPr/>
      </w:pPr>
      <w:r w:rsidDel="00000000" w:rsidR="00000000" w:rsidRPr="00000000">
        <w:rPr>
          <w:rFonts w:ascii="Arial" w:cs="Arial" w:eastAsia="Arial" w:hAnsi="Arial"/>
          <w:color w:val="801c0c"/>
          <w:sz w:val="27"/>
          <w:szCs w:val="27"/>
          <w:rtl w:val="0"/>
        </w:rPr>
        <w:t xml:space="preserve">Description of sign(s)</w:t>
      </w:r>
      <w:r w:rsidDel="00000000" w:rsidR="00000000" w:rsidRPr="00000000">
        <w:rPr>
          <w:rtl w:val="0"/>
        </w:rPr>
      </w:r>
    </w:p>
    <w:p w:rsidR="00000000" w:rsidDel="00000000" w:rsidP="00000000" w:rsidRDefault="00000000" w:rsidRPr="00000000" w14:paraId="00000002">
      <w:pPr>
        <w:spacing w:after="160" w:lineRule="auto"/>
        <w:contextualSpacing w:val="0"/>
        <w:rPr/>
      </w:pPr>
      <w:r w:rsidDel="00000000" w:rsidR="00000000" w:rsidRPr="00000000">
        <w:rPr>
          <w:rFonts w:ascii="Calibri" w:cs="Calibri" w:eastAsia="Calibri" w:hAnsi="Calibri"/>
          <w:color w:val="000000"/>
          <w:sz w:val="22"/>
          <w:szCs w:val="22"/>
          <w:rtl w:val="0"/>
        </w:rPr>
        <w:t xml:space="preserve">1. Name:</w:t>
      </w:r>
      <w:r w:rsidDel="00000000" w:rsidR="00000000" w:rsidRPr="00000000">
        <w:rPr>
          <w:rFonts w:ascii="Calibri" w:cs="Calibri" w:eastAsia="Calibri" w:hAnsi="Calibri"/>
          <w:color w:val="000000"/>
          <w:sz w:val="22"/>
          <w:szCs w:val="22"/>
          <w:rtl w:val="0"/>
        </w:rPr>
        <w:t xml:space="preserve"> Jerry’s Nugget</w:t>
      </w:r>
      <w:r w:rsidDel="00000000" w:rsidR="00000000" w:rsidRPr="00000000">
        <w:rPr>
          <w:rtl w:val="0"/>
        </w:rPr>
      </w:r>
    </w:p>
    <w:p w:rsidR="00000000" w:rsidDel="00000000" w:rsidP="00000000" w:rsidRDefault="00000000" w:rsidRPr="00000000" w14:paraId="00000003">
      <w:pPr>
        <w:spacing w:after="160" w:lineRule="auto"/>
        <w:contextualSpacing w:val="0"/>
        <w:rPr>
          <w:rFonts w:ascii="Calibri" w:cs="Calibri" w:eastAsia="Calibri" w:hAnsi="Calibri"/>
          <w:color w:val="000000"/>
          <w:sz w:val="22"/>
          <w:szCs w:val="22"/>
          <w:u w:val="single"/>
        </w:rPr>
      </w:pPr>
      <w:r w:rsidDel="00000000" w:rsidR="00000000" w:rsidRPr="00000000">
        <w:rPr>
          <w:rFonts w:ascii="Calibri" w:cs="Calibri" w:eastAsia="Calibri" w:hAnsi="Calibri"/>
          <w:color w:val="000000"/>
          <w:sz w:val="22"/>
          <w:szCs w:val="22"/>
          <w:rtl w:val="0"/>
        </w:rPr>
        <w:t xml:space="preserve">2. Owner: The Stamis Family</w:t>
      </w:r>
      <w:r w:rsidDel="00000000" w:rsidR="00000000" w:rsidRPr="00000000">
        <w:rPr>
          <w:rtl w:val="0"/>
        </w:rPr>
      </w:r>
    </w:p>
    <w:p w:rsidR="00000000" w:rsidDel="00000000" w:rsidP="00000000" w:rsidRDefault="00000000" w:rsidRPr="00000000" w14:paraId="00000004">
      <w:pPr>
        <w:spacing w:after="160" w:lineRule="auto"/>
        <w:contextualSpacing w:val="0"/>
        <w:rPr>
          <w:u w:val="single"/>
        </w:rPr>
      </w:pPr>
      <w:r w:rsidDel="00000000" w:rsidR="00000000" w:rsidRPr="00000000">
        <w:rPr>
          <w:rFonts w:ascii="Calibri" w:cs="Calibri" w:eastAsia="Calibri" w:hAnsi="Calibri"/>
          <w:color w:val="000000"/>
          <w:sz w:val="22"/>
          <w:szCs w:val="22"/>
          <w:rtl w:val="0"/>
        </w:rPr>
        <w:t xml:space="preserve">3. Address: 1821 N Las Vegas Blvd, North Las Vegas,</w:t>
      </w:r>
      <w:r w:rsidDel="00000000" w:rsidR="00000000" w:rsidRPr="00000000">
        <w:rPr>
          <w:rFonts w:ascii="Calibri" w:cs="Calibri" w:eastAsia="Calibri" w:hAnsi="Calibri"/>
          <w:color w:val="000000"/>
          <w:sz w:val="22"/>
          <w:szCs w:val="22"/>
          <w:u w:val="single"/>
          <w:rtl w:val="0"/>
        </w:rPr>
        <w:t xml:space="preserve"> </w:t>
      </w:r>
      <w:r w:rsidDel="00000000" w:rsidR="00000000" w:rsidRPr="00000000">
        <w:rPr>
          <w:rtl w:val="0"/>
        </w:rPr>
      </w:r>
    </w:p>
    <w:p w:rsidR="00000000" w:rsidDel="00000000" w:rsidP="00000000" w:rsidRDefault="00000000" w:rsidRPr="00000000" w14:paraId="00000005">
      <w:pPr>
        <w:spacing w:after="160" w:lineRule="auto"/>
        <w:ind w:firstLine="720"/>
        <w:contextualSpacing w:val="0"/>
        <w:rPr/>
      </w:pPr>
      <w:r w:rsidDel="00000000" w:rsidR="00000000" w:rsidRPr="00000000">
        <w:rPr>
          <w:rFonts w:ascii="Calibri" w:cs="Calibri" w:eastAsia="Calibri" w:hAnsi="Calibri"/>
          <w:color w:val="000000"/>
          <w:sz w:val="22"/>
          <w:szCs w:val="22"/>
          <w:rtl w:val="0"/>
        </w:rPr>
        <w:t xml:space="preserve">3b. Additional Site Details (information on site, site history, owner comments): In 1964, Jerry Stamis and Jerry Lodge opened Jerry’s Nugget Casino. The property, formerly the Towne House Bar, was converted into a casino. Four years after its opening, the owners bought the nearby Bonanza Club along with its sign, adding an additional 10,000 square feet to their property. The site has undergone numerous renovations, including in 1982 when it became a full-service casino complete with a restaurant, bars, and nearly 700 slots. The porte cochere was also added at that time. In 1996, a theatre lounge was added as well as a bakery and even more gaming tables. The casino, which celebrated its 50</w:t>
      </w:r>
      <w:r w:rsidDel="00000000" w:rsidR="00000000" w:rsidRPr="00000000">
        <w:rPr>
          <w:rFonts w:ascii="Calibri" w:cs="Calibri" w:eastAsia="Calibri" w:hAnsi="Calibri"/>
          <w:color w:val="000000"/>
          <w:sz w:val="22"/>
          <w:szCs w:val="22"/>
          <w:vertAlign w:val="superscript"/>
          <w:rtl w:val="0"/>
        </w:rPr>
        <w:t xml:space="preserve">th</w:t>
      </w:r>
      <w:r w:rsidDel="00000000" w:rsidR="00000000" w:rsidRPr="00000000">
        <w:rPr>
          <w:rFonts w:ascii="Calibri" w:cs="Calibri" w:eastAsia="Calibri" w:hAnsi="Calibri"/>
          <w:color w:val="000000"/>
          <w:sz w:val="22"/>
          <w:szCs w:val="22"/>
          <w:rtl w:val="0"/>
        </w:rPr>
        <w:t xml:space="preserve"> anniversary in 2014</w:t>
      </w:r>
      <w:r w:rsidDel="00000000" w:rsidR="00000000" w:rsidRPr="00000000">
        <w:rPr>
          <w:rFonts w:ascii="Calibri" w:cs="Calibri" w:eastAsia="Calibri" w:hAnsi="Calibri"/>
          <w:sz w:val="22"/>
          <w:szCs w:val="22"/>
          <w:rtl w:val="0"/>
        </w:rPr>
        <w:t xml:space="preserve">. This location</w:t>
      </w:r>
      <w:r w:rsidDel="00000000" w:rsidR="00000000" w:rsidRPr="00000000">
        <w:rPr>
          <w:rFonts w:ascii="Calibri" w:cs="Calibri" w:eastAsia="Calibri" w:hAnsi="Calibri"/>
          <w:color w:val="000000"/>
          <w:sz w:val="22"/>
          <w:szCs w:val="22"/>
          <w:rtl w:val="0"/>
        </w:rPr>
        <w:t xml:space="preserve"> still claims to cater to “locals.” Currently, it consists of slots, table games, keno lounge, and a bingo hall, among other popular features. </w:t>
      </w: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Fonts w:ascii="Calibri" w:cs="Calibri" w:eastAsia="Calibri" w:hAnsi="Calibri"/>
          <w:color w:val="000000"/>
          <w:sz w:val="22"/>
          <w:szCs w:val="22"/>
          <w:rtl w:val="0"/>
        </w:rPr>
        <w:t xml:space="preserve">4. Condition (1-5 scale, with 5 being excellent, written description): About 4-5, appears to have relatively low damage</w:t>
      </w:r>
      <w:r w:rsidDel="00000000" w:rsidR="00000000" w:rsidRPr="00000000">
        <w:rPr>
          <w:rtl w:val="0"/>
        </w:rPr>
      </w:r>
    </w:p>
    <w:p w:rsidR="00000000" w:rsidDel="00000000" w:rsidP="00000000" w:rsidRDefault="00000000" w:rsidRPr="00000000" w14:paraId="00000007">
      <w:pPr>
        <w:spacing w:after="160" w:lineRule="auto"/>
        <w:contextualSpacing w:val="0"/>
        <w:rPr/>
      </w:pPr>
      <w:r w:rsidDel="00000000" w:rsidR="00000000" w:rsidRPr="00000000">
        <w:rPr>
          <w:rFonts w:ascii="Calibri" w:cs="Calibri" w:eastAsia="Calibri" w:hAnsi="Calibri"/>
          <w:color w:val="000000"/>
          <w:sz w:val="22"/>
          <w:szCs w:val="22"/>
          <w:rtl w:val="0"/>
        </w:rPr>
        <w:t xml:space="preserve">5. Form (pylon, blade, porte cochere, etc): A porte cochere entry with a marble fountain; neon sign adjacent to casino</w:t>
      </w:r>
      <w:r w:rsidDel="00000000" w:rsidR="00000000" w:rsidRPr="00000000">
        <w:rPr>
          <w:rtl w:val="0"/>
        </w:rPr>
      </w:r>
    </w:p>
    <w:p w:rsidR="00000000" w:rsidDel="00000000" w:rsidP="00000000" w:rsidRDefault="00000000" w:rsidRPr="00000000" w14:paraId="00000008">
      <w:pPr>
        <w:spacing w:after="160" w:lineRule="auto"/>
        <w:contextualSpacing w:val="0"/>
        <w:rPr/>
      </w:pPr>
      <w:r w:rsidDel="00000000" w:rsidR="00000000" w:rsidRPr="00000000">
        <w:rPr>
          <w:rFonts w:ascii="Calibri" w:cs="Calibri" w:eastAsia="Calibri" w:hAnsi="Calibri"/>
          <w:color w:val="000000"/>
          <w:sz w:val="22"/>
          <w:szCs w:val="22"/>
          <w:rtl w:val="0"/>
        </w:rPr>
        <w:t xml:space="preserve">6. Specific Description: Neon sign looks to be in the form of an oil derrick, “Jerry’s” in a nugget shape at the top, “Nugget” spelled downward in light blue neon, possibly was once orange.</w:t>
      </w:r>
      <w:r w:rsidDel="00000000" w:rsidR="00000000" w:rsidRPr="00000000">
        <w:rPr>
          <w:rtl w:val="0"/>
        </w:rPr>
      </w:r>
    </w:p>
    <w:p w:rsidR="00000000" w:rsidDel="00000000" w:rsidP="00000000" w:rsidRDefault="00000000" w:rsidRPr="00000000" w14:paraId="00000009">
      <w:pPr>
        <w:spacing w:after="160" w:lineRule="auto"/>
        <w:contextualSpacing w:val="0"/>
        <w:rPr/>
      </w:pPr>
      <w:r w:rsidDel="00000000" w:rsidR="00000000" w:rsidRPr="00000000">
        <w:rPr>
          <w:rFonts w:ascii="Calibri" w:cs="Calibri" w:eastAsia="Calibri" w:hAnsi="Calibri"/>
          <w:color w:val="000000"/>
          <w:sz w:val="22"/>
          <w:szCs w:val="22"/>
          <w:rtl w:val="0"/>
        </w:rPr>
        <w:t xml:space="preserve">7. Type of Display (neon, incandescent, etc): Neon</w:t>
      </w:r>
      <w:r w:rsidDel="00000000" w:rsidR="00000000" w:rsidRPr="00000000">
        <w:rPr>
          <w:rtl w:val="0"/>
        </w:rPr>
      </w:r>
    </w:p>
    <w:p w:rsidR="00000000" w:rsidDel="00000000" w:rsidP="00000000" w:rsidRDefault="00000000" w:rsidRPr="00000000" w14:paraId="0000000A">
      <w:pPr>
        <w:spacing w:after="160" w:lineRule="auto"/>
        <w:contextualSpacing w:val="0"/>
        <w:rPr/>
      </w:pPr>
      <w:r w:rsidDel="00000000" w:rsidR="00000000" w:rsidRPr="00000000">
        <w:rPr>
          <w:rFonts w:ascii="Calibri" w:cs="Calibri" w:eastAsia="Calibri" w:hAnsi="Calibri"/>
          <w:color w:val="000000"/>
          <w:sz w:val="22"/>
          <w:szCs w:val="22"/>
          <w:rtl w:val="0"/>
        </w:rPr>
        <w:t xml:space="preserve">8. Media (steel, plastic, fiberglass, etc): Steel</w:t>
      </w:r>
      <w:r w:rsidDel="00000000" w:rsidR="00000000" w:rsidRPr="00000000">
        <w:rPr>
          <w:rtl w:val="0"/>
        </w:rPr>
      </w:r>
    </w:p>
    <w:p w:rsidR="00000000" w:rsidDel="00000000" w:rsidP="00000000" w:rsidRDefault="00000000" w:rsidRPr="00000000" w14:paraId="0000000B">
      <w:pPr>
        <w:spacing w:after="160" w:lineRule="auto"/>
        <w:contextualSpacing w:val="0"/>
        <w:rPr/>
      </w:pPr>
      <w:r w:rsidDel="00000000" w:rsidR="00000000" w:rsidRPr="00000000">
        <w:rPr>
          <w:rFonts w:ascii="Calibri" w:cs="Calibri" w:eastAsia="Calibri" w:hAnsi="Calibri"/>
          <w:color w:val="000000"/>
          <w:sz w:val="22"/>
          <w:szCs w:val="22"/>
          <w:rtl w:val="0"/>
        </w:rPr>
        <w:t xml:space="preserve">9. Non-neon treatments: </w:t>
      </w:r>
      <w:r w:rsidDel="00000000" w:rsidR="00000000" w:rsidRPr="00000000">
        <w:rPr>
          <w:rtl w:val="0"/>
        </w:rPr>
      </w:r>
    </w:p>
    <w:p w:rsidR="00000000" w:rsidDel="00000000" w:rsidP="00000000" w:rsidRDefault="00000000" w:rsidRPr="00000000" w14:paraId="0000000C">
      <w:pPr>
        <w:spacing w:after="160" w:lineRule="auto"/>
        <w:contextualSpacing w:val="0"/>
        <w:rPr>
          <w:u w:val="single"/>
        </w:rPr>
      </w:pPr>
      <w:r w:rsidDel="00000000" w:rsidR="00000000" w:rsidRPr="00000000">
        <w:rPr>
          <w:rFonts w:ascii="Calibri" w:cs="Calibri" w:eastAsia="Calibri" w:hAnsi="Calibri"/>
          <w:color w:val="000000"/>
          <w:sz w:val="22"/>
          <w:szCs w:val="22"/>
          <w:rtl w:val="0"/>
        </w:rPr>
        <w:t xml:space="preserve">10. Animation: </w:t>
      </w:r>
      <w:r w:rsidDel="00000000" w:rsidR="00000000" w:rsidRPr="00000000">
        <w:rPr>
          <w:rFonts w:ascii="Calibri" w:cs="Calibri" w:eastAsia="Calibri" w:hAnsi="Calibri"/>
          <w:color w:val="000000"/>
          <w:sz w:val="22"/>
          <w:szCs w:val="22"/>
          <w:u w:val="single"/>
          <w:rtl w:val="0"/>
        </w:rPr>
        <w:t xml:space="preserve">None</w:t>
      </w:r>
      <w:r w:rsidDel="00000000" w:rsidR="00000000" w:rsidRPr="00000000">
        <w:rPr>
          <w:rtl w:val="0"/>
        </w:rPr>
      </w:r>
    </w:p>
    <w:p w:rsidR="00000000" w:rsidDel="00000000" w:rsidP="00000000" w:rsidRDefault="00000000" w:rsidRPr="00000000" w14:paraId="0000000D">
      <w:pPr>
        <w:spacing w:after="160" w:lineRule="auto"/>
        <w:contextualSpacing w:val="0"/>
        <w:rPr/>
      </w:pPr>
      <w:r w:rsidDel="00000000" w:rsidR="00000000" w:rsidRPr="00000000">
        <w:rPr>
          <w:rFonts w:ascii="Calibri" w:cs="Calibri" w:eastAsia="Calibri" w:hAnsi="Calibri"/>
          <w:color w:val="000000"/>
          <w:sz w:val="22"/>
          <w:szCs w:val="22"/>
          <w:rtl w:val="0"/>
        </w:rPr>
        <w:t xml:space="preserve">11.  Environment (surrounding properties, neighborhood): Located </w:t>
      </w:r>
      <w:r w:rsidDel="00000000" w:rsidR="00000000" w:rsidRPr="00000000">
        <w:rPr>
          <w:rFonts w:ascii="Calibri" w:cs="Calibri" w:eastAsia="Calibri" w:hAnsi="Calibri"/>
          <w:sz w:val="22"/>
          <w:szCs w:val="22"/>
          <w:rtl w:val="0"/>
        </w:rPr>
        <w:t xml:space="preserve">in North Las Vegas along Las Vegas Blvd. </w:t>
      </w:r>
      <w:r w:rsidDel="00000000" w:rsidR="00000000" w:rsidRPr="00000000">
        <w:rPr>
          <w:rFonts w:ascii="Calibri" w:cs="Calibri" w:eastAsia="Calibri" w:hAnsi="Calibri"/>
          <w:color w:val="000000"/>
          <w:sz w:val="22"/>
          <w:szCs w:val="22"/>
          <w:rtl w:val="0"/>
        </w:rPr>
        <w:t xml:space="preserve">, near the Silver Nugget Casino.</w:t>
      </w:r>
      <w:r w:rsidDel="00000000" w:rsidR="00000000" w:rsidRPr="00000000">
        <w:rPr>
          <w:rtl w:val="0"/>
        </w:rPr>
      </w:r>
    </w:p>
    <w:p w:rsidR="00000000" w:rsidDel="00000000" w:rsidP="00000000" w:rsidRDefault="00000000" w:rsidRPr="00000000" w14:paraId="0000000E">
      <w:pPr>
        <w:spacing w:after="100" w:before="100" w:lineRule="auto"/>
        <w:contextualSpacing w:val="0"/>
        <w:rPr/>
      </w:pPr>
      <w:r w:rsidDel="00000000" w:rsidR="00000000" w:rsidRPr="00000000">
        <w:rPr>
          <w:rFonts w:ascii="Arial" w:cs="Arial" w:eastAsia="Arial" w:hAnsi="Arial"/>
          <w:color w:val="801c0c"/>
          <w:sz w:val="27"/>
          <w:szCs w:val="27"/>
          <w:rtl w:val="0"/>
        </w:rPr>
        <w:t xml:space="preserve">Artistic Context</w:t>
      </w:r>
      <w:r w:rsidDel="00000000" w:rsidR="00000000" w:rsidRPr="00000000">
        <w:rPr>
          <w:rtl w:val="0"/>
        </w:rPr>
      </w:r>
    </w:p>
    <w:p w:rsidR="00000000" w:rsidDel="00000000" w:rsidP="00000000" w:rsidRDefault="00000000" w:rsidRPr="00000000" w14:paraId="0000000F">
      <w:pPr>
        <w:spacing w:after="100" w:before="100" w:lineRule="auto"/>
        <w:contextualSpacing w:val="0"/>
        <w:rPr>
          <w:rFonts w:ascii="Calibri" w:cs="Calibri" w:eastAsia="Calibri" w:hAnsi="Calibri"/>
          <w:color w:val="000000"/>
          <w:sz w:val="22"/>
          <w:szCs w:val="22"/>
          <w:u w:val="single"/>
        </w:rPr>
      </w:pPr>
      <w:r w:rsidDel="00000000" w:rsidR="00000000" w:rsidRPr="00000000">
        <w:rPr>
          <w:rFonts w:ascii="Calibri" w:cs="Calibri" w:eastAsia="Calibri" w:hAnsi="Calibri"/>
          <w:color w:val="000000"/>
          <w:sz w:val="22"/>
          <w:szCs w:val="22"/>
          <w:rtl w:val="0"/>
        </w:rPr>
        <w:t xml:space="preserve">1. Manufacturer: </w:t>
      </w:r>
      <w:r w:rsidDel="00000000" w:rsidR="00000000" w:rsidRPr="00000000">
        <w:rPr>
          <w:rtl w:val="0"/>
        </w:rPr>
      </w:r>
    </w:p>
    <w:p w:rsidR="00000000" w:rsidDel="00000000" w:rsidP="00000000" w:rsidRDefault="00000000" w:rsidRPr="00000000" w14:paraId="00000010">
      <w:pPr>
        <w:spacing w:after="100" w:before="100" w:lineRule="auto"/>
        <w:contextualSpacing w:val="0"/>
        <w:rPr/>
      </w:pPr>
      <w:r w:rsidDel="00000000" w:rsidR="00000000" w:rsidRPr="00000000">
        <w:rPr>
          <w:rFonts w:ascii="Calibri" w:cs="Calibri" w:eastAsia="Calibri" w:hAnsi="Calibri"/>
          <w:color w:val="000000"/>
          <w:sz w:val="22"/>
          <w:szCs w:val="22"/>
          <w:rtl w:val="0"/>
        </w:rPr>
        <w:t xml:space="preserve">2. Designer: Architect of Record: </w:t>
      </w:r>
      <w:r w:rsidDel="00000000" w:rsidR="00000000" w:rsidRPr="00000000">
        <w:rPr>
          <w:rtl w:val="0"/>
        </w:rPr>
      </w:r>
    </w:p>
    <w:p w:rsidR="00000000" w:rsidDel="00000000" w:rsidP="00000000" w:rsidRDefault="00000000" w:rsidRPr="00000000" w14:paraId="00000011">
      <w:pPr>
        <w:spacing w:after="100" w:before="100" w:lineRule="auto"/>
        <w:contextualSpacing w:val="0"/>
        <w:rPr/>
      </w:pPr>
      <w:r w:rsidDel="00000000" w:rsidR="00000000" w:rsidRPr="00000000">
        <w:rPr>
          <w:rFonts w:ascii="Calibri" w:cs="Calibri" w:eastAsia="Calibri" w:hAnsi="Calibri"/>
          <w:color w:val="000000"/>
          <w:sz w:val="22"/>
          <w:szCs w:val="22"/>
          <w:rtl w:val="0"/>
        </w:rPr>
        <w:t xml:space="preserve">3. Date of Installation: </w:t>
      </w:r>
      <w:r w:rsidDel="00000000" w:rsidR="00000000" w:rsidRPr="00000000">
        <w:rPr>
          <w:rFonts w:ascii="Calibri" w:cs="Calibri" w:eastAsia="Calibri" w:hAnsi="Calibri"/>
          <w:color w:val="000000"/>
          <w:sz w:val="22"/>
          <w:szCs w:val="22"/>
          <w:u w:val="single"/>
          <w:rtl w:val="0"/>
        </w:rPr>
        <w:t xml:space="preserve">1964</w:t>
      </w:r>
      <w:r w:rsidDel="00000000" w:rsidR="00000000" w:rsidRPr="00000000">
        <w:rPr>
          <w:rtl w:val="0"/>
        </w:rPr>
      </w:r>
    </w:p>
    <w:p w:rsidR="00000000" w:rsidDel="00000000" w:rsidP="00000000" w:rsidRDefault="00000000" w:rsidRPr="00000000" w14:paraId="00000012">
      <w:pPr>
        <w:spacing w:after="100" w:before="100" w:lineRule="auto"/>
        <w:contextualSpacing w:val="0"/>
        <w:rPr/>
      </w:pPr>
      <w:r w:rsidDel="00000000" w:rsidR="00000000" w:rsidRPr="00000000">
        <w:rPr>
          <w:rFonts w:ascii="Calibri" w:cs="Calibri" w:eastAsia="Calibri" w:hAnsi="Calibri"/>
          <w:color w:val="000000"/>
          <w:sz w:val="22"/>
          <w:szCs w:val="22"/>
          <w:rtl w:val="0"/>
        </w:rPr>
        <w:t xml:space="preserve">4. Date(s) of any major redesign/move: </w:t>
      </w:r>
      <w:r w:rsidDel="00000000" w:rsidR="00000000" w:rsidRPr="00000000">
        <w:rPr>
          <w:rFonts w:ascii="Calibri" w:cs="Calibri" w:eastAsia="Calibri" w:hAnsi="Calibri"/>
          <w:color w:val="000000"/>
          <w:sz w:val="22"/>
          <w:szCs w:val="22"/>
          <w:u w:val="single"/>
          <w:rtl w:val="0"/>
        </w:rPr>
        <w:t xml:space="preserve">Reconstructed in 1982, renovated in 1995, expanded again in 2004</w:t>
      </w:r>
      <w:r w:rsidDel="00000000" w:rsidR="00000000" w:rsidRPr="00000000">
        <w:rPr>
          <w:rtl w:val="0"/>
        </w:rPr>
      </w:r>
    </w:p>
    <w:p w:rsidR="00000000" w:rsidDel="00000000" w:rsidP="00000000" w:rsidRDefault="00000000" w:rsidRPr="00000000" w14:paraId="00000013">
      <w:pPr>
        <w:spacing w:after="100" w:before="100" w:lineRule="auto"/>
        <w:contextualSpacing w:val="0"/>
        <w:rPr/>
      </w:pPr>
      <w:r w:rsidDel="00000000" w:rsidR="00000000" w:rsidRPr="00000000">
        <w:rPr>
          <w:rFonts w:ascii="Calibri" w:cs="Calibri" w:eastAsia="Calibri" w:hAnsi="Calibri"/>
          <w:color w:val="000000"/>
          <w:sz w:val="22"/>
          <w:szCs w:val="22"/>
          <w:rtl w:val="0"/>
        </w:rPr>
        <w:t xml:space="preserve">5. Thematic Influence (design elements found on similar signs, elements related to the property, linkage to previous themes, trends, context): ______________________________________________________________________________</w:t>
      </w: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Fonts w:ascii="Calibri" w:cs="Calibri" w:eastAsia="Calibri" w:hAnsi="Calibri"/>
          <w:color w:val="000000"/>
          <w:sz w:val="22"/>
          <w:szCs w:val="22"/>
          <w:rtl w:val="0"/>
        </w:rPr>
        <w:t xml:space="preserve">6. Artistic Significance (themes and representation, era: time and design, trends, context): __________________________________________________________________________________</w:t>
      </w:r>
      <w:r w:rsidDel="00000000" w:rsidR="00000000" w:rsidRPr="00000000">
        <w:rPr>
          <w:rtl w:val="0"/>
        </w:rPr>
      </w:r>
    </w:p>
    <w:p w:rsidR="00000000" w:rsidDel="00000000" w:rsidP="00000000" w:rsidRDefault="00000000" w:rsidRPr="00000000" w14:paraId="00000015">
      <w:pPr>
        <w:spacing w:after="100" w:before="100" w:lineRule="auto"/>
        <w:contextualSpacing w:val="0"/>
        <w:rPr/>
      </w:pPr>
      <w:r w:rsidDel="00000000" w:rsidR="00000000" w:rsidRPr="00000000">
        <w:rPr>
          <w:rFonts w:ascii="Arial" w:cs="Arial" w:eastAsia="Arial" w:hAnsi="Arial"/>
          <w:color w:val="801c0c"/>
          <w:sz w:val="27"/>
          <w:szCs w:val="27"/>
          <w:rtl w:val="0"/>
        </w:rPr>
        <w:t xml:space="preserve">Surveyor Notes</w:t>
      </w:r>
      <w:r w:rsidDel="00000000" w:rsidR="00000000" w:rsidRPr="00000000">
        <w:rPr>
          <w:rtl w:val="0"/>
        </w:rPr>
      </w:r>
    </w:p>
    <w:p w:rsidR="00000000" w:rsidDel="00000000" w:rsidP="00000000" w:rsidRDefault="00000000" w:rsidRPr="00000000" w14:paraId="00000016">
      <w:pPr>
        <w:spacing w:after="160" w:line="240" w:lineRule="auto"/>
        <w:contextualSpacing w:val="0"/>
        <w:rPr/>
      </w:pPr>
      <w:r w:rsidDel="00000000" w:rsidR="00000000" w:rsidRPr="00000000">
        <w:rPr>
          <w:rFonts w:ascii="Calibri" w:cs="Calibri" w:eastAsia="Calibri" w:hAnsi="Calibri"/>
          <w:color w:val="000000"/>
          <w:sz w:val="22"/>
          <w:szCs w:val="22"/>
          <w:rtl w:val="0"/>
        </w:rPr>
        <w:t xml:space="preserve">1. Research locations (archives, library, recorder’s office, etc)</w:t>
      </w:r>
      <w:r w:rsidDel="00000000" w:rsidR="00000000" w:rsidRPr="00000000">
        <w:rPr>
          <w:rtl w:val="0"/>
        </w:rPr>
      </w:r>
    </w:p>
    <w:p w:rsidR="00000000" w:rsidDel="00000000" w:rsidP="00000000" w:rsidRDefault="00000000" w:rsidRPr="00000000" w14:paraId="00000017">
      <w:pPr>
        <w:spacing w:after="280" w:before="280" w:lineRule="auto"/>
        <w:contextualSpacing w:val="0"/>
        <w:rPr/>
      </w:pPr>
      <w:r w:rsidDel="00000000" w:rsidR="00000000" w:rsidRPr="00000000">
        <w:rPr>
          <w:rFonts w:ascii="Calibri" w:cs="Calibri" w:eastAsia="Calibri" w:hAnsi="Calibri"/>
          <w:sz w:val="22"/>
          <w:szCs w:val="22"/>
          <w:rtl w:val="0"/>
        </w:rPr>
        <w:t xml:space="preserve">Neon Museum tour outline, Jerry’s Nugget </w:t>
      </w:r>
      <w:r w:rsidDel="00000000" w:rsidR="00000000" w:rsidRPr="00000000">
        <w:rPr>
          <w:rFonts w:ascii="Calibri" w:cs="Calibri" w:eastAsia="Calibri" w:hAnsi="Calibri"/>
          <w:color w:val="000000"/>
          <w:sz w:val="22"/>
          <w:szCs w:val="22"/>
          <w:rtl w:val="0"/>
        </w:rPr>
        <w:t xml:space="preserve">website </w:t>
      </w:r>
      <w:hyperlink r:id="rId6">
        <w:r w:rsidDel="00000000" w:rsidR="00000000" w:rsidRPr="00000000">
          <w:rPr>
            <w:rFonts w:ascii="Calibri" w:cs="Calibri" w:eastAsia="Calibri" w:hAnsi="Calibri"/>
            <w:color w:val="1155cc"/>
            <w:sz w:val="22"/>
            <w:szCs w:val="22"/>
            <w:u w:val="single"/>
            <w:rtl w:val="0"/>
          </w:rPr>
          <w:t xml:space="preserve">http://www.jerrysnugget.com/</w:t>
        </w:r>
      </w:hyperlink>
      <w:r w:rsidDel="00000000" w:rsidR="00000000" w:rsidRPr="00000000">
        <w:rPr>
          <w:rFonts w:ascii="Calibri" w:cs="Calibri" w:eastAsia="Calibri" w:hAnsi="Calibri"/>
          <w:color w:val="000000"/>
          <w:sz w:val="22"/>
          <w:szCs w:val="22"/>
          <w:rtl w:val="0"/>
        </w:rPr>
        <w:t xml:space="preserve"> , recorder’s office, </w:t>
      </w:r>
      <w:r w:rsidDel="00000000" w:rsidR="00000000" w:rsidRPr="00000000">
        <w:rPr>
          <w:rFonts w:ascii="Calibri" w:cs="Calibri" w:eastAsia="Calibri" w:hAnsi="Calibri"/>
          <w:sz w:val="22"/>
          <w:szCs w:val="22"/>
          <w:rtl w:val="0"/>
        </w:rPr>
        <w:t xml:space="preserve">Assessor's page</w:t>
      </w:r>
      <w:r w:rsidDel="00000000" w:rsidR="00000000" w:rsidRPr="00000000">
        <w:rPr>
          <w:rtl w:val="0"/>
        </w:rPr>
      </w:r>
    </w:p>
    <w:p w:rsidR="00000000" w:rsidDel="00000000" w:rsidP="00000000" w:rsidRDefault="00000000" w:rsidRPr="00000000" w14:paraId="00000018">
      <w:pPr>
        <w:spacing w:after="160" w:line="240" w:lineRule="auto"/>
        <w:contextualSpacing w:val="0"/>
        <w:rPr>
          <w:rFonts w:ascii="Calibri" w:cs="Calibri" w:eastAsia="Calibri" w:hAnsi="Calibri"/>
          <w:color w:val="000000"/>
          <w:sz w:val="22"/>
          <w:szCs w:val="22"/>
          <w:u w:val="single"/>
        </w:rPr>
      </w:pPr>
      <w:bookmarkStart w:colFirst="0" w:colLast="0" w:name="_gjdgxs" w:id="0"/>
      <w:bookmarkEnd w:id="0"/>
      <w:r w:rsidDel="00000000" w:rsidR="00000000" w:rsidRPr="00000000">
        <w:rPr>
          <w:rFonts w:ascii="Calibri" w:cs="Calibri" w:eastAsia="Calibri" w:hAnsi="Calibri"/>
          <w:color w:val="000000"/>
          <w:sz w:val="22"/>
          <w:szCs w:val="22"/>
          <w:rtl w:val="0"/>
        </w:rPr>
        <w:t xml:space="preserve">2. Research notes: </w:t>
      </w:r>
      <w:r w:rsidDel="00000000" w:rsidR="00000000" w:rsidRPr="00000000">
        <w:rPr>
          <w:rFonts w:ascii="Calibri" w:cs="Calibri" w:eastAsia="Calibri" w:hAnsi="Calibri"/>
          <w:color w:val="000000"/>
          <w:sz w:val="22"/>
          <w:szCs w:val="22"/>
          <w:u w:val="single"/>
          <w:rtl w:val="0"/>
        </w:rPr>
        <w:t xml:space="preserve">Cool to see the restored sign in the Neon Boneyard collection!</w:t>
      </w:r>
    </w:p>
    <w:p w:rsidR="00000000" w:rsidDel="00000000" w:rsidP="00000000" w:rsidRDefault="00000000" w:rsidRPr="00000000" w14:paraId="00000019">
      <w:pPr>
        <w:spacing w:after="160" w:line="240" w:lineRule="auto"/>
        <w:contextualSpacing w:val="0"/>
        <w:rPr>
          <w:u w:val="single"/>
        </w:rPr>
      </w:pPr>
      <w:r w:rsidDel="00000000" w:rsidR="00000000" w:rsidRPr="00000000">
        <w:rPr>
          <w:rtl w:val="0"/>
        </w:rPr>
      </w:r>
    </w:p>
    <w:p w:rsidR="00000000" w:rsidDel="00000000" w:rsidP="00000000" w:rsidRDefault="00000000" w:rsidRPr="00000000" w14:paraId="0000001A">
      <w:pPr>
        <w:spacing w:after="160" w:line="240" w:lineRule="auto"/>
        <w:contextualSpacing w:val="0"/>
        <w:rPr/>
      </w:pPr>
      <w:r w:rsidDel="00000000" w:rsidR="00000000" w:rsidRPr="00000000">
        <w:rPr>
          <w:rFonts w:ascii="Calibri" w:cs="Calibri" w:eastAsia="Calibri" w:hAnsi="Calibri"/>
          <w:color w:val="000000"/>
          <w:sz w:val="22"/>
          <w:szCs w:val="22"/>
          <w:rtl w:val="0"/>
        </w:rPr>
        <w:t xml:space="preserve">3. Any other relevant surveyor remarks</w:t>
      </w:r>
      <w:r w:rsidDel="00000000" w:rsidR="00000000" w:rsidRPr="00000000">
        <w:rPr>
          <w:rtl w:val="0"/>
        </w:rPr>
      </w:r>
    </w:p>
    <w:p w:rsidR="00000000" w:rsidDel="00000000" w:rsidP="00000000" w:rsidRDefault="00000000" w:rsidRPr="00000000" w14:paraId="0000001B">
      <w:pPr>
        <w:spacing w:after="280" w:before="280" w:lineRule="auto"/>
        <w:contextualSpacing w:val="0"/>
        <w:rPr/>
      </w:pPr>
      <w:r w:rsidDel="00000000" w:rsidR="00000000" w:rsidRPr="00000000">
        <w:rPr>
          <w:rFonts w:ascii="Calibri" w:cs="Calibri" w:eastAsia="Calibri" w:hAnsi="Calibri"/>
          <w:color w:val="000000"/>
          <w:sz w:val="22"/>
          <w:szCs w:val="22"/>
          <w:rtl w:val="0"/>
        </w:rPr>
        <w:t xml:space="preserve">__________________________________________________________________________________</w:t>
      </w:r>
      <w:r w:rsidDel="00000000" w:rsidR="00000000" w:rsidRPr="00000000">
        <w:rPr>
          <w:rtl w:val="0"/>
        </w:rPr>
      </w:r>
    </w:p>
    <w:p w:rsidR="00000000" w:rsidDel="00000000" w:rsidP="00000000" w:rsidRDefault="00000000" w:rsidRPr="00000000" w14:paraId="0000001C">
      <w:pPr>
        <w:spacing w:line="240" w:lineRule="auto"/>
        <w:contextualSpacing w:val="0"/>
        <w:rPr/>
      </w:pPr>
      <w:r w:rsidDel="00000000" w:rsidR="00000000" w:rsidRPr="00000000">
        <w:rPr>
          <w:rtl w:val="0"/>
        </w:rPr>
        <w:t xml:space="preserve">CC                                                                                            7/12/17</w:t>
      </w:r>
    </w:p>
    <w:p w:rsidR="00000000" w:rsidDel="00000000" w:rsidP="00000000" w:rsidRDefault="00000000" w:rsidRPr="00000000" w14:paraId="0000001D">
      <w:pPr>
        <w:spacing w:after="160" w:line="240" w:lineRule="auto"/>
        <w:contextualSpacing w:val="0"/>
        <w:rPr/>
      </w:pPr>
      <w:r w:rsidDel="00000000" w:rsidR="00000000" w:rsidRPr="00000000">
        <w:rPr>
          <w:rFonts w:ascii="Calibri" w:cs="Calibri" w:eastAsia="Calibri" w:hAnsi="Calibri"/>
          <w:color w:val="000000"/>
          <w:sz w:val="22"/>
          <w:szCs w:val="22"/>
          <w:rtl w:val="0"/>
        </w:rPr>
        <w:t xml:space="preserve">_________________________________________________        ________________________________</w:t>
      </w:r>
      <w:r w:rsidDel="00000000" w:rsidR="00000000" w:rsidRPr="00000000">
        <w:rPr>
          <w:rtl w:val="0"/>
        </w:rPr>
      </w:r>
    </w:p>
    <w:p w:rsidR="00000000" w:rsidDel="00000000" w:rsidP="00000000" w:rsidRDefault="00000000" w:rsidRPr="00000000" w14:paraId="0000001E">
      <w:pPr>
        <w:spacing w:after="160" w:line="240" w:lineRule="auto"/>
        <w:contextualSpacing w:val="0"/>
        <w:rPr/>
      </w:pPr>
      <w:r w:rsidDel="00000000" w:rsidR="00000000" w:rsidRPr="00000000">
        <w:rPr>
          <w:rFonts w:ascii="Calibri" w:cs="Calibri" w:eastAsia="Calibri" w:hAnsi="Calibri"/>
          <w:b w:val="1"/>
          <w:color w:val="000000"/>
          <w:sz w:val="22"/>
          <w:szCs w:val="22"/>
          <w:rtl w:val="0"/>
        </w:rPr>
        <w:t xml:space="preserve">Surveyor </w:t>
        <w:tab/>
        <w:tab/>
        <w:tab/>
        <w:tab/>
        <w:tab/>
        <w:tab/>
        <w:tab/>
        <w:t xml:space="preserve">Date</w:t>
      </w:r>
      <w:r w:rsidDel="00000000" w:rsidR="00000000" w:rsidRPr="00000000">
        <w:rPr>
          <w:rtl w:val="0"/>
        </w:rPr>
      </w:r>
    </w:p>
    <w:p w:rsidR="00000000" w:rsidDel="00000000" w:rsidP="00000000" w:rsidRDefault="00000000" w:rsidRPr="00000000" w14:paraId="0000001F">
      <w:pPr>
        <w:spacing w:line="240" w:lineRule="auto"/>
        <w:contextualSpacing w:val="0"/>
        <w:rPr/>
      </w:pPr>
      <w:r w:rsidDel="00000000" w:rsidR="00000000" w:rsidRPr="00000000">
        <w:rPr>
          <w:rtl w:val="0"/>
        </w:rPr>
      </w:r>
    </w:p>
    <w:p w:rsidR="00000000" w:rsidDel="00000000" w:rsidP="00000000" w:rsidRDefault="00000000" w:rsidRPr="00000000" w14:paraId="00000020">
      <w:pPr>
        <w:spacing w:after="160" w:line="240" w:lineRule="auto"/>
        <w:contextualSpacing w:val="0"/>
        <w:rPr/>
      </w:pPr>
      <w:r w:rsidDel="00000000" w:rsidR="00000000" w:rsidRPr="00000000">
        <w:rPr>
          <w:rFonts w:ascii="Calibri" w:cs="Calibri" w:eastAsia="Calibri" w:hAnsi="Calibri"/>
          <w:b w:val="1"/>
          <w:color w:val="000000"/>
          <w:sz w:val="22"/>
          <w:szCs w:val="22"/>
          <w:rtl w:val="0"/>
        </w:rPr>
        <w:t xml:space="preserve">*Please attach a map from the assessor’s site when possible.</w:t>
      </w: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jerrysnugg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