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40" w:lineRule="auto"/>
        <w:contextualSpacing w:val="0"/>
        <w:rPr/>
      </w:pPr>
      <w:r w:rsidDel="00000000" w:rsidR="00000000" w:rsidRPr="00000000">
        <w:rPr>
          <w:rFonts w:ascii="Arial" w:cs="Arial" w:eastAsia="Arial" w:hAnsi="Arial"/>
          <w:color w:val="801c0c"/>
          <w:sz w:val="27"/>
          <w:szCs w:val="27"/>
          <w:rtl w:val="0"/>
        </w:rPr>
        <w:t xml:space="preserve">Neon Sign Survey</w:t>
      </w:r>
      <w:r w:rsidDel="00000000" w:rsidR="00000000" w:rsidRPr="00000000">
        <w:rPr>
          <w:rtl w:val="0"/>
        </w:rPr>
      </w:r>
    </w:p>
    <w:p w:rsidR="00000000" w:rsidDel="00000000" w:rsidP="00000000" w:rsidRDefault="00000000" w:rsidRPr="00000000" w14:paraId="00000001">
      <w:pPr>
        <w:spacing w:after="160" w:line="240" w:lineRule="auto"/>
        <w:contextualSpacing w:val="0"/>
        <w:rPr/>
      </w:pPr>
      <w:r w:rsidDel="00000000" w:rsidR="00000000" w:rsidRPr="00000000">
        <w:rPr>
          <w:rFonts w:ascii="Arial" w:cs="Arial" w:eastAsia="Arial" w:hAnsi="Arial"/>
          <w:color w:val="801c0c"/>
          <w:sz w:val="27"/>
          <w:szCs w:val="27"/>
          <w:rtl w:val="0"/>
        </w:rPr>
        <w:t xml:space="preserve">Description of sign(s)</w:t>
      </w:r>
      <w:r w:rsidDel="00000000" w:rsidR="00000000" w:rsidRPr="00000000">
        <w:rPr>
          <w:rtl w:val="0"/>
        </w:rPr>
      </w:r>
    </w:p>
    <w:p w:rsidR="00000000" w:rsidDel="00000000" w:rsidP="00000000" w:rsidRDefault="00000000" w:rsidRPr="00000000" w14:paraId="00000002">
      <w:pPr>
        <w:spacing w:after="160" w:lineRule="auto"/>
        <w:contextualSpacing w:val="0"/>
        <w:rPr/>
      </w:pPr>
      <w:r w:rsidDel="00000000" w:rsidR="00000000" w:rsidRPr="00000000">
        <w:rPr>
          <w:rFonts w:ascii="Calibri" w:cs="Calibri" w:eastAsia="Calibri" w:hAnsi="Calibri"/>
          <w:color w:val="000000"/>
          <w:sz w:val="22"/>
          <w:szCs w:val="22"/>
          <w:rtl w:val="0"/>
        </w:rPr>
        <w:t xml:space="preserve">1. Name:</w:t>
      </w:r>
      <w:r w:rsidDel="00000000" w:rsidR="00000000" w:rsidRPr="00000000">
        <w:rPr>
          <w:rFonts w:ascii="Calibri" w:cs="Calibri" w:eastAsia="Calibri" w:hAnsi="Calibri"/>
          <w:color w:val="000000"/>
          <w:sz w:val="22"/>
          <w:szCs w:val="22"/>
          <w:rtl w:val="0"/>
        </w:rPr>
        <w:t xml:space="preserve"> Bellagio</w:t>
      </w:r>
      <w:r w:rsidDel="00000000" w:rsidR="00000000" w:rsidRPr="00000000">
        <w:rPr>
          <w:rtl w:val="0"/>
        </w:rPr>
      </w:r>
    </w:p>
    <w:p w:rsidR="00000000" w:rsidDel="00000000" w:rsidP="00000000" w:rsidRDefault="00000000" w:rsidRPr="00000000" w14:paraId="00000003">
      <w:pPr>
        <w:spacing w:after="16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Owner: MGM Resorts International</w:t>
      </w:r>
    </w:p>
    <w:p w:rsidR="00000000" w:rsidDel="00000000" w:rsidP="00000000" w:rsidRDefault="00000000" w:rsidRPr="00000000" w14:paraId="00000004">
      <w:pPr>
        <w:spacing w:after="160" w:lineRule="auto"/>
        <w:contextualSpacing w:val="0"/>
        <w:rPr/>
      </w:pPr>
      <w:r w:rsidDel="00000000" w:rsidR="00000000" w:rsidRPr="00000000">
        <w:rPr>
          <w:rFonts w:ascii="Calibri" w:cs="Calibri" w:eastAsia="Calibri" w:hAnsi="Calibri"/>
          <w:color w:val="000000"/>
          <w:sz w:val="22"/>
          <w:szCs w:val="22"/>
          <w:rtl w:val="0"/>
        </w:rPr>
        <w:t xml:space="preserve">3. Address: 3600 S Las Vegas Blvd, Las Vegas, NV 89109 </w:t>
      </w:r>
      <w:r w:rsidDel="00000000" w:rsidR="00000000" w:rsidRPr="00000000">
        <w:rPr>
          <w:rtl w:val="0"/>
        </w:rPr>
      </w:r>
    </w:p>
    <w:p w:rsidR="00000000" w:rsidDel="00000000" w:rsidP="00000000" w:rsidRDefault="00000000" w:rsidRPr="00000000" w14:paraId="00000005">
      <w:pPr>
        <w:spacing w:after="160" w:lineRule="auto"/>
        <w:ind w:firstLine="720"/>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3b. Additional Site Details (information on site, site history, owner comments): The Bellagio sits on the property that formerly housed the Dunes Hotel, which was demolished in 1993. Steve Wynn had bought the property in ’93 and construction officially began in 1996. The Bellagio opened to the public in 1998 and was reportedly the most expensive hotel built in Las Vegas at the time. Steve Wynn personally attended the grand opening along with the numerous VIP guests. In the year 2010, the hotel became a member of the MGM Resorts International hotel conglomeration. Probably the most well-known attraction at the Bellagio are the exterior fountains, which light up and participate in a “musical show” every 30 minutes.  </w:t>
      </w:r>
    </w:p>
    <w:p w:rsidR="00000000" w:rsidDel="00000000" w:rsidP="00000000" w:rsidRDefault="00000000" w:rsidRPr="00000000" w14:paraId="00000006">
      <w:pPr>
        <w:contextualSpacing w:val="0"/>
        <w:rPr>
          <w:u w:val="single"/>
        </w:rPr>
      </w:pPr>
      <w:r w:rsidDel="00000000" w:rsidR="00000000" w:rsidRPr="00000000">
        <w:rPr>
          <w:rFonts w:ascii="Calibri" w:cs="Calibri" w:eastAsia="Calibri" w:hAnsi="Calibri"/>
          <w:color w:val="000000"/>
          <w:sz w:val="22"/>
          <w:szCs w:val="22"/>
          <w:rtl w:val="0"/>
        </w:rPr>
        <w:t xml:space="preserve">4. Condition (1-5 scale, with 5 being excellent, written description): </w:t>
      </w:r>
      <w:r w:rsidDel="00000000" w:rsidR="00000000" w:rsidRPr="00000000">
        <w:rPr>
          <w:rFonts w:ascii="Calibri" w:cs="Calibri" w:eastAsia="Calibri" w:hAnsi="Calibri"/>
          <w:color w:val="000000"/>
          <w:sz w:val="22"/>
          <w:szCs w:val="22"/>
          <w:u w:val="single"/>
          <w:rtl w:val="0"/>
        </w:rPr>
        <w:t xml:space="preserve">About a 5, appears to have relatively low damage</w:t>
      </w:r>
      <w:r w:rsidDel="00000000" w:rsidR="00000000" w:rsidRPr="00000000">
        <w:rPr>
          <w:rtl w:val="0"/>
        </w:rPr>
      </w:r>
    </w:p>
    <w:p w:rsidR="00000000" w:rsidDel="00000000" w:rsidP="00000000" w:rsidRDefault="00000000" w:rsidRPr="00000000" w14:paraId="00000007">
      <w:pPr>
        <w:spacing w:after="160" w:lineRule="auto"/>
        <w:contextualSpacing w:val="0"/>
        <w:rPr>
          <w:u w:val="single"/>
        </w:rPr>
      </w:pPr>
      <w:r w:rsidDel="00000000" w:rsidR="00000000" w:rsidRPr="00000000">
        <w:rPr>
          <w:rFonts w:ascii="Calibri" w:cs="Calibri" w:eastAsia="Calibri" w:hAnsi="Calibri"/>
          <w:color w:val="000000"/>
          <w:sz w:val="22"/>
          <w:szCs w:val="22"/>
          <w:rtl w:val="0"/>
        </w:rPr>
        <w:t xml:space="preserve">5. Form (pylon, blade, porte cochere, etc):</w:t>
      </w:r>
      <w:r w:rsidDel="00000000" w:rsidR="00000000" w:rsidRPr="00000000">
        <w:rPr>
          <w:rFonts w:ascii="Calibri" w:cs="Calibri" w:eastAsia="Calibri" w:hAnsi="Calibri"/>
          <w:color w:val="000000"/>
          <w:sz w:val="22"/>
          <w:szCs w:val="22"/>
          <w:u w:val="single"/>
          <w:rtl w:val="0"/>
        </w:rPr>
        <w:t xml:space="preserve"> A pylon sign on the backside of the hotel; large porte cochere near the front entrance</w:t>
      </w:r>
      <w:r w:rsidDel="00000000" w:rsidR="00000000" w:rsidRPr="00000000">
        <w:rPr>
          <w:rtl w:val="0"/>
        </w:rPr>
      </w:r>
    </w:p>
    <w:p w:rsidR="00000000" w:rsidDel="00000000" w:rsidP="00000000" w:rsidRDefault="00000000" w:rsidRPr="00000000" w14:paraId="00000008">
      <w:pPr>
        <w:spacing w:after="160" w:lineRule="auto"/>
        <w:contextualSpacing w:val="0"/>
        <w:rPr/>
      </w:pPr>
      <w:r w:rsidDel="00000000" w:rsidR="00000000" w:rsidRPr="00000000">
        <w:rPr>
          <w:rFonts w:ascii="Calibri" w:cs="Calibri" w:eastAsia="Calibri" w:hAnsi="Calibri"/>
          <w:color w:val="000000"/>
          <w:sz w:val="22"/>
          <w:szCs w:val="22"/>
          <w:rtl w:val="0"/>
        </w:rPr>
        <w:t xml:space="preserve">6. Specific Description: Sign at the top, center of the hotel that says “Bellagio” in what seems to be metal lettering and flush with incandescent lighting; there is a second sign on the backside of the hotel, adjacent to the I-15, similar metal lettering and back-lighting that spells out “Bellagio,” also an electronic media screen</w:t>
      </w:r>
      <w:r w:rsidDel="00000000" w:rsidR="00000000" w:rsidRPr="00000000">
        <w:rPr>
          <w:rtl w:val="0"/>
        </w:rPr>
      </w:r>
    </w:p>
    <w:p w:rsidR="00000000" w:rsidDel="00000000" w:rsidP="00000000" w:rsidRDefault="00000000" w:rsidRPr="00000000" w14:paraId="00000009">
      <w:pPr>
        <w:spacing w:after="160" w:lineRule="auto"/>
        <w:contextualSpacing w:val="0"/>
        <w:rPr/>
      </w:pPr>
      <w:r w:rsidDel="00000000" w:rsidR="00000000" w:rsidRPr="00000000">
        <w:rPr>
          <w:rFonts w:ascii="Calibri" w:cs="Calibri" w:eastAsia="Calibri" w:hAnsi="Calibri"/>
          <w:color w:val="000000"/>
          <w:sz w:val="22"/>
          <w:szCs w:val="22"/>
          <w:rtl w:val="0"/>
        </w:rPr>
        <w:t xml:space="preserve">7. Type of Display (neon, incandescent, etc): It appears that the majority of signage is metal and perhaps incandescent lighting</w:t>
      </w:r>
      <w:r w:rsidDel="00000000" w:rsidR="00000000" w:rsidRPr="00000000">
        <w:rPr>
          <w:rtl w:val="0"/>
        </w:rPr>
      </w:r>
    </w:p>
    <w:p w:rsidR="00000000" w:rsidDel="00000000" w:rsidP="00000000" w:rsidRDefault="00000000" w:rsidRPr="00000000" w14:paraId="0000000A">
      <w:pPr>
        <w:spacing w:after="160" w:lineRule="auto"/>
        <w:contextualSpacing w:val="0"/>
        <w:rPr/>
      </w:pPr>
      <w:r w:rsidDel="00000000" w:rsidR="00000000" w:rsidRPr="00000000">
        <w:rPr>
          <w:rFonts w:ascii="Calibri" w:cs="Calibri" w:eastAsia="Calibri" w:hAnsi="Calibri"/>
          <w:color w:val="000000"/>
          <w:sz w:val="22"/>
          <w:szCs w:val="22"/>
          <w:rtl w:val="0"/>
        </w:rPr>
        <w:t xml:space="preserve">8. Media (steel, plastic, fiberglass, etc): </w:t>
      </w:r>
      <w:r w:rsidDel="00000000" w:rsidR="00000000" w:rsidRPr="00000000">
        <w:rPr>
          <w:rFonts w:ascii="Calibri" w:cs="Calibri" w:eastAsia="Calibri" w:hAnsi="Calibri"/>
          <w:color w:val="000000"/>
          <w:sz w:val="22"/>
          <w:szCs w:val="22"/>
          <w:u w:val="single"/>
          <w:rtl w:val="0"/>
        </w:rPr>
        <w:t xml:space="preserve">Steel</w:t>
      </w:r>
      <w:r w:rsidDel="00000000" w:rsidR="00000000" w:rsidRPr="00000000">
        <w:rPr>
          <w:rtl w:val="0"/>
        </w:rPr>
      </w:r>
    </w:p>
    <w:p w:rsidR="00000000" w:rsidDel="00000000" w:rsidP="00000000" w:rsidRDefault="00000000" w:rsidRPr="00000000" w14:paraId="0000000B">
      <w:pPr>
        <w:spacing w:after="160" w:lineRule="auto"/>
        <w:contextualSpacing w:val="0"/>
        <w:rPr/>
      </w:pPr>
      <w:r w:rsidDel="00000000" w:rsidR="00000000" w:rsidRPr="00000000">
        <w:rPr>
          <w:rFonts w:ascii="Calibri" w:cs="Calibri" w:eastAsia="Calibri" w:hAnsi="Calibri"/>
          <w:color w:val="000000"/>
          <w:sz w:val="22"/>
          <w:szCs w:val="22"/>
          <w:rtl w:val="0"/>
        </w:rPr>
        <w:t xml:space="preserve">9. Non-neon treatments: </w:t>
      </w:r>
      <w:r w:rsidDel="00000000" w:rsidR="00000000" w:rsidRPr="00000000">
        <w:rPr>
          <w:rtl w:val="0"/>
        </w:rPr>
      </w:r>
    </w:p>
    <w:p w:rsidR="00000000" w:rsidDel="00000000" w:rsidP="00000000" w:rsidRDefault="00000000" w:rsidRPr="00000000" w14:paraId="0000000C">
      <w:pPr>
        <w:spacing w:after="160" w:lineRule="auto"/>
        <w:contextualSpacing w:val="0"/>
        <w:rPr>
          <w:u w:val="single"/>
        </w:rPr>
      </w:pPr>
      <w:r w:rsidDel="00000000" w:rsidR="00000000" w:rsidRPr="00000000">
        <w:rPr>
          <w:rFonts w:ascii="Calibri" w:cs="Calibri" w:eastAsia="Calibri" w:hAnsi="Calibri"/>
          <w:color w:val="000000"/>
          <w:sz w:val="22"/>
          <w:szCs w:val="22"/>
          <w:rtl w:val="0"/>
        </w:rPr>
        <w:t xml:space="preserve">10. Animation: </w:t>
      </w:r>
      <w:r w:rsidDel="00000000" w:rsidR="00000000" w:rsidRPr="00000000">
        <w:rPr>
          <w:rFonts w:ascii="Calibri" w:cs="Calibri" w:eastAsia="Calibri" w:hAnsi="Calibri"/>
          <w:color w:val="000000"/>
          <w:sz w:val="22"/>
          <w:szCs w:val="22"/>
          <w:u w:val="single"/>
          <w:rtl w:val="0"/>
        </w:rPr>
        <w:t xml:space="preserve">None</w:t>
      </w:r>
      <w:r w:rsidDel="00000000" w:rsidR="00000000" w:rsidRPr="00000000">
        <w:rPr>
          <w:rtl w:val="0"/>
        </w:rPr>
      </w:r>
    </w:p>
    <w:p w:rsidR="00000000" w:rsidDel="00000000" w:rsidP="00000000" w:rsidRDefault="00000000" w:rsidRPr="00000000" w14:paraId="0000000D">
      <w:pPr>
        <w:spacing w:after="160" w:lineRule="auto"/>
        <w:contextualSpacing w:val="0"/>
        <w:rPr>
          <w:u w:val="single"/>
        </w:rPr>
      </w:pPr>
      <w:r w:rsidDel="00000000" w:rsidR="00000000" w:rsidRPr="00000000">
        <w:rPr>
          <w:rFonts w:ascii="Calibri" w:cs="Calibri" w:eastAsia="Calibri" w:hAnsi="Calibri"/>
          <w:color w:val="000000"/>
          <w:sz w:val="22"/>
          <w:szCs w:val="22"/>
          <w:rtl w:val="0"/>
        </w:rPr>
        <w:t xml:space="preserve">11.  Environment (surrounding properties, neighborhood): Located on the Strip, near the South end, across from the Paris Las Vegas and adjacent to the Cosmopolitan</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tl w:val="0"/>
        </w:rPr>
      </w:r>
    </w:p>
    <w:p w:rsidR="00000000" w:rsidDel="00000000" w:rsidP="00000000" w:rsidRDefault="00000000" w:rsidRPr="00000000" w14:paraId="0000000E">
      <w:pPr>
        <w:spacing w:after="100" w:before="100" w:lineRule="auto"/>
        <w:contextualSpacing w:val="0"/>
        <w:rPr/>
      </w:pPr>
      <w:r w:rsidDel="00000000" w:rsidR="00000000" w:rsidRPr="00000000">
        <w:rPr>
          <w:rFonts w:ascii="Arial" w:cs="Arial" w:eastAsia="Arial" w:hAnsi="Arial"/>
          <w:color w:val="801c0c"/>
          <w:sz w:val="27"/>
          <w:szCs w:val="27"/>
          <w:rtl w:val="0"/>
        </w:rPr>
        <w:t xml:space="preserve">Artistic Context</w:t>
      </w:r>
      <w:r w:rsidDel="00000000" w:rsidR="00000000" w:rsidRPr="00000000">
        <w:rPr>
          <w:rtl w:val="0"/>
        </w:rPr>
      </w:r>
    </w:p>
    <w:p w:rsidR="00000000" w:rsidDel="00000000" w:rsidP="00000000" w:rsidRDefault="00000000" w:rsidRPr="00000000" w14:paraId="0000000F">
      <w:pPr>
        <w:spacing w:after="100" w:before="100" w:lineRule="auto"/>
        <w:contextualSpacing w:val="0"/>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rtl w:val="0"/>
        </w:rPr>
        <w:t xml:space="preserve">1. Manufacturer: </w:t>
      </w:r>
      <w:r w:rsidDel="00000000" w:rsidR="00000000" w:rsidRPr="00000000">
        <w:rPr>
          <w:rtl w:val="0"/>
        </w:rPr>
      </w:r>
    </w:p>
    <w:p w:rsidR="00000000" w:rsidDel="00000000" w:rsidP="00000000" w:rsidRDefault="00000000" w:rsidRPr="00000000" w14:paraId="00000010">
      <w:pPr>
        <w:spacing w:after="100" w:before="10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Designer: DeRuyter Butler, Atlandia Design; Interior: Roger Thomas</w:t>
      </w:r>
    </w:p>
    <w:p w:rsidR="00000000" w:rsidDel="00000000" w:rsidP="00000000" w:rsidRDefault="00000000" w:rsidRPr="00000000" w14:paraId="00000011">
      <w:pPr>
        <w:spacing w:after="100" w:before="100" w:lineRule="auto"/>
        <w:contextualSpacing w:val="0"/>
        <w:rPr/>
      </w:pPr>
      <w:r w:rsidDel="00000000" w:rsidR="00000000" w:rsidRPr="00000000">
        <w:rPr>
          <w:rFonts w:ascii="Calibri" w:cs="Calibri" w:eastAsia="Calibri" w:hAnsi="Calibri"/>
          <w:color w:val="000000"/>
          <w:sz w:val="22"/>
          <w:szCs w:val="22"/>
          <w:rtl w:val="0"/>
        </w:rPr>
        <w:t xml:space="preserve">4. Architect of Record: Jon Jerde</w:t>
      </w:r>
      <w:r w:rsidDel="00000000" w:rsidR="00000000" w:rsidRPr="00000000">
        <w:rPr>
          <w:rtl w:val="0"/>
        </w:rPr>
      </w:r>
    </w:p>
    <w:p w:rsidR="00000000" w:rsidDel="00000000" w:rsidP="00000000" w:rsidRDefault="00000000" w:rsidRPr="00000000" w14:paraId="00000012">
      <w:pPr>
        <w:spacing w:after="100" w:before="100" w:lineRule="auto"/>
        <w:contextualSpacing w:val="0"/>
        <w:rPr/>
      </w:pPr>
      <w:r w:rsidDel="00000000" w:rsidR="00000000" w:rsidRPr="00000000">
        <w:rPr>
          <w:rFonts w:ascii="Calibri" w:cs="Calibri" w:eastAsia="Calibri" w:hAnsi="Calibri"/>
          <w:color w:val="000000"/>
          <w:sz w:val="22"/>
          <w:szCs w:val="22"/>
          <w:rtl w:val="0"/>
        </w:rPr>
        <w:t xml:space="preserve">5. Date of Installation: </w:t>
      </w:r>
      <w:r w:rsidDel="00000000" w:rsidR="00000000" w:rsidRPr="00000000">
        <w:rPr>
          <w:rFonts w:ascii="Calibri" w:cs="Calibri" w:eastAsia="Calibri" w:hAnsi="Calibri"/>
          <w:color w:val="000000"/>
          <w:sz w:val="22"/>
          <w:szCs w:val="22"/>
          <w:u w:val="single"/>
          <w:rtl w:val="0"/>
        </w:rPr>
        <w:t xml:space="preserve">Construction began 1996, opened 1998</w:t>
      </w:r>
      <w:r w:rsidDel="00000000" w:rsidR="00000000" w:rsidRPr="00000000">
        <w:rPr>
          <w:rtl w:val="0"/>
        </w:rPr>
      </w:r>
    </w:p>
    <w:p w:rsidR="00000000" w:rsidDel="00000000" w:rsidP="00000000" w:rsidRDefault="00000000" w:rsidRPr="00000000" w14:paraId="00000013">
      <w:pPr>
        <w:spacing w:after="100" w:before="100" w:lineRule="auto"/>
        <w:contextualSpacing w:val="0"/>
        <w:rPr/>
      </w:pPr>
      <w:r w:rsidDel="00000000" w:rsidR="00000000" w:rsidRPr="00000000">
        <w:rPr>
          <w:rFonts w:ascii="Calibri" w:cs="Calibri" w:eastAsia="Calibri" w:hAnsi="Calibri"/>
          <w:color w:val="000000"/>
          <w:sz w:val="22"/>
          <w:szCs w:val="22"/>
          <w:rtl w:val="0"/>
        </w:rPr>
        <w:t xml:space="preserve">6. Date(s) of any major redesign/move: </w:t>
      </w:r>
      <w:r w:rsidDel="00000000" w:rsidR="00000000" w:rsidRPr="00000000">
        <w:rPr>
          <w:rFonts w:ascii="Calibri" w:cs="Calibri" w:eastAsia="Calibri" w:hAnsi="Calibri"/>
          <w:color w:val="000000"/>
          <w:sz w:val="22"/>
          <w:szCs w:val="22"/>
          <w:u w:val="single"/>
          <w:rtl w:val="0"/>
        </w:rPr>
        <w:t xml:space="preserve">Remodeled in 2006: casino floor, paint scheme</w:t>
      </w:r>
      <w:r w:rsidDel="00000000" w:rsidR="00000000" w:rsidRPr="00000000">
        <w:rPr>
          <w:rtl w:val="0"/>
        </w:rPr>
      </w:r>
    </w:p>
    <w:p w:rsidR="00000000" w:rsidDel="00000000" w:rsidP="00000000" w:rsidRDefault="00000000" w:rsidRPr="00000000" w14:paraId="00000014">
      <w:pPr>
        <w:spacing w:after="100" w:before="100" w:lineRule="auto"/>
        <w:contextualSpacing w:val="0"/>
        <w:rPr>
          <w:u w:val="single"/>
        </w:rPr>
      </w:pPr>
      <w:r w:rsidDel="00000000" w:rsidR="00000000" w:rsidRPr="00000000">
        <w:rPr>
          <w:rFonts w:ascii="Calibri" w:cs="Calibri" w:eastAsia="Calibri" w:hAnsi="Calibri"/>
          <w:color w:val="000000"/>
          <w:sz w:val="22"/>
          <w:szCs w:val="22"/>
          <w:rtl w:val="0"/>
        </w:rPr>
        <w:t xml:space="preserve">7. Thematic Influence (design elements found on similar signs, elements related to the property, linkage to previous themes, trends, context): </w:t>
      </w:r>
      <w:r w:rsidDel="00000000" w:rsidR="00000000" w:rsidRPr="00000000">
        <w:rPr>
          <w:rFonts w:ascii="Calibri" w:cs="Calibri" w:eastAsia="Calibri" w:hAnsi="Calibri"/>
          <w:color w:val="000000"/>
          <w:sz w:val="22"/>
          <w:szCs w:val="22"/>
          <w:u w:val="single"/>
          <w:rtl w:val="0"/>
        </w:rPr>
        <w:t xml:space="preserve">The design of the Bellagio is based off of the small town of Bellagio in the Lake Como area of Italy; the hotel and casino incorporates Mediterranean-themed elements throughout. </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Fonts w:ascii="Calibri" w:cs="Calibri" w:eastAsia="Calibri" w:hAnsi="Calibri"/>
          <w:color w:val="000000"/>
          <w:sz w:val="22"/>
          <w:szCs w:val="22"/>
          <w:rtl w:val="0"/>
        </w:rPr>
        <w:t xml:space="preserve">8. Artistic Significance (themes and representation, era: time and design, trends, context): 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spacing w:after="100" w:before="100" w:lineRule="auto"/>
        <w:contextualSpacing w:val="0"/>
        <w:rPr/>
      </w:pPr>
      <w:r w:rsidDel="00000000" w:rsidR="00000000" w:rsidRPr="00000000">
        <w:rPr>
          <w:rFonts w:ascii="Arial" w:cs="Arial" w:eastAsia="Arial" w:hAnsi="Arial"/>
          <w:color w:val="801c0c"/>
          <w:sz w:val="27"/>
          <w:szCs w:val="27"/>
          <w:rtl w:val="0"/>
        </w:rPr>
        <w:t xml:space="preserve">Surveyor Notes</w:t>
      </w:r>
      <w:r w:rsidDel="00000000" w:rsidR="00000000" w:rsidRPr="00000000">
        <w:rPr>
          <w:rtl w:val="0"/>
        </w:rPr>
      </w:r>
    </w:p>
    <w:p w:rsidR="00000000" w:rsidDel="00000000" w:rsidP="00000000" w:rsidRDefault="00000000" w:rsidRPr="00000000" w14:paraId="00000017">
      <w:pPr>
        <w:spacing w:after="160" w:line="240" w:lineRule="auto"/>
        <w:contextualSpacing w:val="0"/>
        <w:rPr/>
      </w:pPr>
      <w:r w:rsidDel="00000000" w:rsidR="00000000" w:rsidRPr="00000000">
        <w:rPr>
          <w:rFonts w:ascii="Calibri" w:cs="Calibri" w:eastAsia="Calibri" w:hAnsi="Calibri"/>
          <w:color w:val="000000"/>
          <w:sz w:val="22"/>
          <w:szCs w:val="22"/>
          <w:rtl w:val="0"/>
        </w:rPr>
        <w:t xml:space="preserve">1. Research locations (archives, library, recorder’s office, etc)</w:t>
      </w:r>
      <w:r w:rsidDel="00000000" w:rsidR="00000000" w:rsidRPr="00000000">
        <w:rPr>
          <w:rtl w:val="0"/>
        </w:rPr>
      </w:r>
    </w:p>
    <w:p w:rsidR="00000000" w:rsidDel="00000000" w:rsidP="00000000" w:rsidRDefault="00000000" w:rsidRPr="00000000" w14:paraId="00000018">
      <w:pPr>
        <w:spacing w:after="280" w:before="280" w:lineRule="auto"/>
        <w:contextualSpacing w:val="0"/>
        <w:rPr>
          <w:rFonts w:ascii="Calibri" w:cs="Calibri" w:eastAsia="Calibri" w:hAnsi="Calibri"/>
          <w:color w:val="000000"/>
          <w:sz w:val="22"/>
          <w:szCs w:val="22"/>
          <w:u w:val="single"/>
        </w:rPr>
      </w:pPr>
      <w:bookmarkStart w:colFirst="0" w:colLast="0" w:name="_gjdgxs" w:id="0"/>
      <w:bookmarkEnd w:id="0"/>
      <w:r w:rsidDel="00000000" w:rsidR="00000000" w:rsidRPr="00000000">
        <w:rPr>
          <w:rFonts w:ascii="Calibri" w:cs="Calibri" w:eastAsia="Calibri" w:hAnsi="Calibri"/>
          <w:color w:val="000000"/>
          <w:sz w:val="22"/>
          <w:szCs w:val="22"/>
          <w:u w:val="single"/>
          <w:rtl w:val="0"/>
        </w:rPr>
        <w:t xml:space="preserve">Archives, Bellagio website; </w:t>
      </w:r>
      <w:hyperlink r:id="rId6">
        <w:r w:rsidDel="00000000" w:rsidR="00000000" w:rsidRPr="00000000">
          <w:rPr>
            <w:rFonts w:ascii="Calibri" w:cs="Calibri" w:eastAsia="Calibri" w:hAnsi="Calibri"/>
            <w:color w:val="0563c1"/>
            <w:sz w:val="22"/>
            <w:szCs w:val="22"/>
            <w:u w:val="single"/>
            <w:rtl w:val="0"/>
          </w:rPr>
          <w:t xml:space="preserve">http://inlandarchitectmag.com/pdf/Bellagio.pdf</w:t>
        </w:r>
      </w:hyperlink>
      <w:r w:rsidDel="00000000" w:rsidR="00000000" w:rsidRPr="00000000">
        <w:rPr>
          <w:rFonts w:ascii="Calibri" w:cs="Calibri" w:eastAsia="Calibri" w:hAnsi="Calibri"/>
          <w:color w:val="000000"/>
          <w:sz w:val="22"/>
          <w:szCs w:val="22"/>
          <w:u w:val="single"/>
          <w:rtl w:val="0"/>
        </w:rPr>
        <w:t xml:space="preserve"> </w:t>
      </w:r>
    </w:p>
    <w:p w:rsidR="00000000" w:rsidDel="00000000" w:rsidP="00000000" w:rsidRDefault="00000000" w:rsidRPr="00000000" w14:paraId="00000019">
      <w:pPr>
        <w:spacing w:after="160" w:line="240" w:lineRule="auto"/>
        <w:contextualSpacing w:val="0"/>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rtl w:val="0"/>
        </w:rPr>
        <w:t xml:space="preserve">2. Research notes: </w:t>
      </w:r>
      <w:r w:rsidDel="00000000" w:rsidR="00000000" w:rsidRPr="00000000">
        <w:rPr>
          <w:rtl w:val="0"/>
        </w:rPr>
      </w:r>
    </w:p>
    <w:p w:rsidR="00000000" w:rsidDel="00000000" w:rsidP="00000000" w:rsidRDefault="00000000" w:rsidRPr="00000000" w14:paraId="0000001A">
      <w:pPr>
        <w:spacing w:after="160" w:line="240" w:lineRule="auto"/>
        <w:contextualSpacing w:val="0"/>
        <w:rPr>
          <w:u w:val="single"/>
        </w:rPr>
      </w:pPr>
      <w:r w:rsidDel="00000000" w:rsidR="00000000" w:rsidRPr="00000000">
        <w:rPr>
          <w:rtl w:val="0"/>
        </w:rPr>
      </w:r>
    </w:p>
    <w:p w:rsidR="00000000" w:rsidDel="00000000" w:rsidP="00000000" w:rsidRDefault="00000000" w:rsidRPr="00000000" w14:paraId="0000001B">
      <w:pPr>
        <w:spacing w:after="160" w:line="240" w:lineRule="auto"/>
        <w:contextualSpacing w:val="0"/>
        <w:rPr/>
      </w:pPr>
      <w:r w:rsidDel="00000000" w:rsidR="00000000" w:rsidRPr="00000000">
        <w:rPr>
          <w:rFonts w:ascii="Calibri" w:cs="Calibri" w:eastAsia="Calibri" w:hAnsi="Calibri"/>
          <w:color w:val="000000"/>
          <w:sz w:val="22"/>
          <w:szCs w:val="22"/>
          <w:rtl w:val="0"/>
        </w:rPr>
        <w:t xml:space="preserve">3. Any other relevant surveyor remarks</w:t>
      </w:r>
      <w:r w:rsidDel="00000000" w:rsidR="00000000" w:rsidRPr="00000000">
        <w:rPr>
          <w:rtl w:val="0"/>
        </w:rPr>
      </w:r>
    </w:p>
    <w:p w:rsidR="00000000" w:rsidDel="00000000" w:rsidP="00000000" w:rsidRDefault="00000000" w:rsidRPr="00000000" w14:paraId="0000001C">
      <w:pPr>
        <w:spacing w:after="280" w:before="280" w:lineRule="auto"/>
        <w:contextualSpacing w:val="0"/>
        <w:rPr>
          <w:u w:val="single"/>
        </w:rPr>
      </w:pPr>
      <w:r w:rsidDel="00000000" w:rsidR="00000000" w:rsidRPr="00000000">
        <w:rPr>
          <w:rFonts w:ascii="Calibri" w:cs="Calibri" w:eastAsia="Calibri" w:hAnsi="Calibri"/>
          <w:color w:val="000000"/>
          <w:sz w:val="22"/>
          <w:szCs w:val="22"/>
          <w:u w:val="single"/>
          <w:rtl w:val="0"/>
        </w:rPr>
        <w:t xml:space="preserve">It was somewhat hard to tell if there was any neon signage incorporated into the façade; it certainly features numerous lighting elements, however, it is interesting that there is not more neon</w:t>
      </w:r>
      <w:r w:rsidDel="00000000" w:rsidR="00000000" w:rsidRPr="00000000">
        <w:rPr>
          <w:rtl w:val="0"/>
        </w:rPr>
      </w:r>
    </w:p>
    <w:p w:rsidR="00000000" w:rsidDel="00000000" w:rsidP="00000000" w:rsidRDefault="00000000" w:rsidRPr="00000000" w14:paraId="0000001D">
      <w:pPr>
        <w:spacing w:line="240" w:lineRule="auto"/>
        <w:contextualSpacing w:val="0"/>
        <w:rPr/>
      </w:pPr>
      <w:r w:rsidDel="00000000" w:rsidR="00000000" w:rsidRPr="00000000">
        <w:rPr>
          <w:rtl w:val="0"/>
        </w:rPr>
        <w:t xml:space="preserve">CC                                                                                            8/8/17</w:t>
      </w:r>
    </w:p>
    <w:p w:rsidR="00000000" w:rsidDel="00000000" w:rsidP="00000000" w:rsidRDefault="00000000" w:rsidRPr="00000000" w14:paraId="0000001E">
      <w:pPr>
        <w:spacing w:after="160" w:line="240" w:lineRule="auto"/>
        <w:contextualSpacing w:val="0"/>
        <w:rPr/>
      </w:pPr>
      <w:r w:rsidDel="00000000" w:rsidR="00000000" w:rsidRPr="00000000">
        <w:rPr>
          <w:rFonts w:ascii="Calibri" w:cs="Calibri" w:eastAsia="Calibri" w:hAnsi="Calibri"/>
          <w:color w:val="000000"/>
          <w:sz w:val="22"/>
          <w:szCs w:val="22"/>
          <w:rtl w:val="0"/>
        </w:rPr>
        <w:t xml:space="preserve">_________________________________________________        ________________________________</w:t>
      </w:r>
      <w:r w:rsidDel="00000000" w:rsidR="00000000" w:rsidRPr="00000000">
        <w:rPr>
          <w:rtl w:val="0"/>
        </w:rPr>
      </w:r>
    </w:p>
    <w:p w:rsidR="00000000" w:rsidDel="00000000" w:rsidP="00000000" w:rsidRDefault="00000000" w:rsidRPr="00000000" w14:paraId="0000001F">
      <w:pPr>
        <w:spacing w:after="160" w:line="240" w:lineRule="auto"/>
        <w:contextualSpacing w:val="0"/>
        <w:rPr/>
      </w:pPr>
      <w:r w:rsidDel="00000000" w:rsidR="00000000" w:rsidRPr="00000000">
        <w:rPr>
          <w:rFonts w:ascii="Calibri" w:cs="Calibri" w:eastAsia="Calibri" w:hAnsi="Calibri"/>
          <w:b w:val="1"/>
          <w:color w:val="000000"/>
          <w:sz w:val="22"/>
          <w:szCs w:val="22"/>
          <w:rtl w:val="0"/>
        </w:rPr>
        <w:t xml:space="preserve">Surveyor </w:t>
        <w:tab/>
        <w:tab/>
        <w:tab/>
        <w:tab/>
        <w:tab/>
        <w:tab/>
        <w:tab/>
        <w:t xml:space="preserve">Date</w:t>
      </w:r>
      <w:r w:rsidDel="00000000" w:rsidR="00000000" w:rsidRPr="00000000">
        <w:rPr>
          <w:rtl w:val="0"/>
        </w:rPr>
      </w:r>
    </w:p>
    <w:p w:rsidR="00000000" w:rsidDel="00000000" w:rsidP="00000000" w:rsidRDefault="00000000" w:rsidRPr="00000000" w14:paraId="00000020">
      <w:pPr>
        <w:spacing w:line="240" w:lineRule="auto"/>
        <w:contextualSpacing w:val="0"/>
        <w:rPr/>
      </w:pPr>
      <w:r w:rsidDel="00000000" w:rsidR="00000000" w:rsidRPr="00000000">
        <w:rPr>
          <w:rtl w:val="0"/>
        </w:rPr>
      </w:r>
    </w:p>
    <w:p w:rsidR="00000000" w:rsidDel="00000000" w:rsidP="00000000" w:rsidRDefault="00000000" w:rsidRPr="00000000" w14:paraId="00000021">
      <w:pPr>
        <w:spacing w:after="160" w:line="240" w:lineRule="auto"/>
        <w:contextualSpacing w:val="0"/>
        <w:rPr/>
      </w:pPr>
      <w:r w:rsidDel="00000000" w:rsidR="00000000" w:rsidRPr="00000000">
        <w:rPr>
          <w:rFonts w:ascii="Calibri" w:cs="Calibri" w:eastAsia="Calibri" w:hAnsi="Calibri"/>
          <w:b w:val="1"/>
          <w:color w:val="000000"/>
          <w:sz w:val="22"/>
          <w:szCs w:val="22"/>
          <w:rtl w:val="0"/>
        </w:rPr>
        <w:t xml:space="preserve">*Please attach a map from the assessor’s site when possible.</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inlandarchitectmag.com/pdf/Bellag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