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60" w:line="259"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Triple B: Backstage Bar &amp; Billiards</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DJ Lethal co-owned with DJ Scotty</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601 Fremont St East 89101</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This location opened in 2012 as a  billiard hall bar and concert venue. It is filled with a lot of Rock Memorabilia which includes a ‘turntable library’ which they claim showcases over 8 decades of rock history. This location was furnished by rock outfitter Anvil Cases. This property got its name by being ‘backstage’ to the adjoining Fremont Country Club.</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looks relatively new and still in great condition</w:t>
      </w:r>
    </w:p>
    <w:p w:rsidR="00000000" w:rsidDel="00000000" w:rsidP="00000000" w:rsidRDefault="00000000" w:rsidRPr="00000000" w14:paraId="00000007">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Variation of Bull Nose Sign </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Their entrance is on the corner of  6th (going South) and Fremont with a blue bull nose type sign in a triangle shape. The base of the triangle sign is right above the entrance. The triangle border has a blue (argon) strip with incandescents lining both sides of the neon tubing. At the base of the sign there is a blue (argon) curved platform (half circle placed adjoining to the base of the triangle). On this platform there are 5 separate strips of argon tubes. Above the platform states ‘Backstage Bar &amp; Billiards’ in white cursive channeled letters. Above the words Backstage and Billiards there are two martini glasses with a pool ball and flag in each glass. At the top of the triangle portion of the sign there is their logo ‘Triple B’ in cursive with Triple in Blue and B in white. Below the bullnose sign there is a reader board that wraps around the building. This reader board is also lined with incandescent light bulbs. In the middle of the of the reader board there is  a black background rectangle with 3 rhombus’s lined in incandescent light bulbs in a design. </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__Neon, incandescent and reader board_</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___steel and plastic (for reader board)</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____Reader Board__________________________________</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Incandescents sparkle-Flasher____________________________</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neighborhood):__Fremont East district East District, next to other bars and restaurants. This location is right across the street from the El Cortez. Also they claim to be ‘backstage’ to the adjoining Fremont Country Club which inspired their name. </w:t>
      </w:r>
    </w:p>
    <w:p w:rsidR="00000000" w:rsidDel="00000000" w:rsidP="00000000" w:rsidRDefault="00000000" w:rsidRPr="00000000" w14:paraId="0000000E">
      <w:pPr>
        <w:widowControl w:val="0"/>
        <w:spacing w:after="16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___Ultra Signs… recently bought out by Jones Las Vegas ( of Jones SIgns) who did not have records of this sign.___</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N/A_________________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2012 when the bar opened______</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None seen______________________</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On Fremont many of the entrances are at the corner intersections, so the bullnose sign has been prominent design type to draw attention to the entrance of the company. This is remnant of the Golden Nugget and Binion’s  Horseshoe put up their bull nose signs in 1961. </w:t>
      </w:r>
    </w:p>
    <w:p w:rsidR="00000000" w:rsidDel="00000000" w:rsidP="00000000" w:rsidRDefault="00000000" w:rsidRPr="00000000" w14:paraId="00000014">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The curved platform at the bottom of their bull nose sign looks like an old retro movie theater style sign platform that you would see in the 1940’s/50’s. Particularly with their reader board with incandescent light bulbs speaks to this era as well. </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Assessor's page, triple B website </w:t>
      </w:r>
      <w:hyperlink r:id="rId6">
        <w:r w:rsidDel="00000000" w:rsidR="00000000" w:rsidRPr="00000000">
          <w:rPr>
            <w:rFonts w:ascii="Calibri" w:cs="Calibri" w:eastAsia="Calibri" w:hAnsi="Calibri"/>
            <w:color w:val="1155cc"/>
            <w:u w:val="single"/>
            <w:rtl w:val="0"/>
          </w:rPr>
          <w:t xml:space="preserve">http://www.backstagebarlv.com/</w:t>
        </w:r>
      </w:hyperlink>
      <w:r w:rsidDel="00000000" w:rsidR="00000000" w:rsidRPr="00000000">
        <w:rPr>
          <w:rFonts w:ascii="Calibri" w:cs="Calibri" w:eastAsia="Calibri" w:hAnsi="Calibri"/>
          <w:rtl w:val="0"/>
        </w:rPr>
        <w:t xml:space="preserve"> , Las Vegas Weekly Newspaper article</w:t>
      </w:r>
    </w:p>
    <w:p w:rsidR="00000000" w:rsidDel="00000000" w:rsidP="00000000" w:rsidRDefault="00000000" w:rsidRPr="00000000" w14:paraId="00000018">
      <w:pPr>
        <w:widowControl w:val="0"/>
        <w:spacing w:after="280" w:before="280" w:line="480" w:lineRule="auto"/>
        <w:contextualSpacing w:val="0"/>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https://lasvegasweekly.com/nightlife/lowball-diary/2012/dec/05/triple-b-fills-downtowns-watering-hole-hole/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A">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Fremont Bars.com  has a photo of their main sign being installed. </w:t>
      </w:r>
      <w:hyperlink r:id="rId8">
        <w:r w:rsidDel="00000000" w:rsidR="00000000" w:rsidRPr="00000000">
          <w:rPr>
            <w:rFonts w:ascii="Calibri" w:cs="Calibri" w:eastAsia="Calibri" w:hAnsi="Calibri"/>
            <w:color w:val="1155cc"/>
            <w:u w:val="single"/>
            <w:rtl w:val="0"/>
          </w:rPr>
          <w:t xml:space="preserve">http://www.fremontstreetbars.com/2012/11/29/welcome-to-the-neighborhood-backstage-bar-billiards/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 3. Any other relevant surveyor remarks</w:t>
      </w:r>
    </w:p>
    <w:p w:rsidR="00000000" w:rsidDel="00000000" w:rsidP="00000000" w:rsidRDefault="00000000" w:rsidRPr="00000000" w14:paraId="0000001C">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__The Ultra Signs logo is visible on the left side of the sign_____________________________</w:t>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_Emily Fellmer____________                                   __________August 11, 2017________________</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20">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ckstagebarlv.com/" TargetMode="External"/><Relationship Id="rId7" Type="http://schemas.openxmlformats.org/officeDocument/2006/relationships/hyperlink" Target="https://lasvegasweekly.com/nightlife/lowball-diary/2012/dec/05/triple-b-fills-downtowns-watering-hole-hole/" TargetMode="External"/><Relationship Id="rId8" Type="http://schemas.openxmlformats.org/officeDocument/2006/relationships/hyperlink" Target="http://www.fremontstreetbars.com/2012/11/29/welcome-to-the-neighborhood-backstage-bar-billi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