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Pair A Dice Motel</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Bartsas Mary 14 LLC 601 S Rancho Dr #C-23 LV NV 89101</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2217 Fremont Street LV NC 89101</w:t>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numPr>
          <w:ilvl w:val="0"/>
          <w:numId w:val="17"/>
        </w:numPr>
        <w:spacing w:line="480" w:lineRule="auto"/>
        <w:ind w:left="1440" w:hanging="360"/>
        <w:contextualSpacing w:val="1"/>
        <w:rPr>
          <w:u w:val="none"/>
        </w:rPr>
      </w:pPr>
      <w:r w:rsidDel="00000000" w:rsidR="00000000" w:rsidRPr="00000000">
        <w:rPr>
          <w:rtl w:val="0"/>
        </w:rPr>
        <w:t xml:space="preserve">Transferred/Given from a trust in 2012</w:t>
      </w:r>
    </w:p>
    <w:p w:rsidR="00000000" w:rsidDel="00000000" w:rsidP="00000000" w:rsidRDefault="00000000" w:rsidRPr="00000000" w14:paraId="00000007">
      <w:pPr>
        <w:numPr>
          <w:ilvl w:val="0"/>
          <w:numId w:val="17"/>
        </w:numPr>
        <w:spacing w:line="480" w:lineRule="auto"/>
        <w:ind w:left="1440" w:hanging="360"/>
        <w:contextualSpacing w:val="1"/>
        <w:rPr>
          <w:u w:val="none"/>
        </w:rPr>
      </w:pPr>
      <w:r w:rsidDel="00000000" w:rsidR="00000000" w:rsidRPr="00000000">
        <w:rPr>
          <w:rtl w:val="0"/>
        </w:rPr>
        <w:t xml:space="preserve">Same owner since 1982 but kept “transferring” 2001, 2012</w:t>
      </w:r>
    </w:p>
    <w:p w:rsidR="00000000" w:rsidDel="00000000" w:rsidP="00000000" w:rsidRDefault="00000000" w:rsidRPr="00000000" w14:paraId="00000008">
      <w:pPr>
        <w:numPr>
          <w:ilvl w:val="0"/>
          <w:numId w:val="17"/>
        </w:numPr>
        <w:spacing w:line="480" w:lineRule="auto"/>
        <w:ind w:left="1440" w:hanging="360"/>
        <w:contextualSpacing w:val="1"/>
        <w:rPr>
          <w:u w:val="none"/>
        </w:rPr>
      </w:pPr>
      <w:r w:rsidDel="00000000" w:rsidR="00000000" w:rsidRPr="00000000">
        <w:rPr>
          <w:rtl w:val="0"/>
        </w:rPr>
        <w:t xml:space="preserve">.77 acres</w:t>
      </w:r>
    </w:p>
    <w:p w:rsidR="00000000" w:rsidDel="00000000" w:rsidP="00000000" w:rsidRDefault="00000000" w:rsidRPr="00000000" w14:paraId="00000009">
      <w:pPr>
        <w:numPr>
          <w:ilvl w:val="0"/>
          <w:numId w:val="17"/>
        </w:numPr>
        <w:spacing w:line="480" w:lineRule="auto"/>
        <w:ind w:left="1440" w:hanging="360"/>
        <w:contextualSpacing w:val="1"/>
        <w:rPr>
          <w:u w:val="none"/>
        </w:rPr>
      </w:pPr>
      <w:r w:rsidDel="00000000" w:rsidR="00000000" w:rsidRPr="00000000">
        <w:rPr>
          <w:rtl w:val="0"/>
        </w:rPr>
        <w:t xml:space="preserve">vacant lot, sign is all that's left</w:t>
      </w:r>
    </w:p>
    <w:p w:rsidR="00000000" w:rsidDel="00000000" w:rsidP="00000000" w:rsidRDefault="00000000" w:rsidRPr="00000000" w14:paraId="0000000A">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B">
      <w:pPr>
        <w:numPr>
          <w:ilvl w:val="0"/>
          <w:numId w:val="2"/>
        </w:numPr>
        <w:spacing w:line="480" w:lineRule="auto"/>
        <w:ind w:left="720" w:hanging="360"/>
        <w:contextualSpacing w:val="1"/>
        <w:rPr>
          <w:u w:val="none"/>
        </w:rPr>
      </w:pPr>
      <w:r w:rsidDel="00000000" w:rsidR="00000000" w:rsidRPr="00000000">
        <w:rPr>
          <w:rtl w:val="0"/>
        </w:rPr>
        <w:t xml:space="preserve">2 - Bad condition, graffiti all over, parts fallen off, reader board smashed in, paint chipping off, holes all over structure especially the bottom, no way it lights up still. </w:t>
      </w:r>
      <w:r w:rsidDel="00000000" w:rsidR="00000000" w:rsidRPr="00000000">
        <w:rPr>
          <w:rtl w:val="0"/>
        </w:rPr>
      </w:r>
    </w:p>
    <w:p w:rsidR="00000000" w:rsidDel="00000000" w:rsidP="00000000" w:rsidRDefault="00000000" w:rsidRPr="00000000" w14:paraId="0000000C">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D">
      <w:pPr>
        <w:numPr>
          <w:ilvl w:val="0"/>
          <w:numId w:val="12"/>
        </w:numPr>
        <w:spacing w:line="480" w:lineRule="auto"/>
        <w:ind w:left="720" w:hanging="360"/>
        <w:contextualSpacing w:val="1"/>
        <w:rPr>
          <w:u w:val="none"/>
        </w:rPr>
      </w:pPr>
      <w:r w:rsidDel="00000000" w:rsidR="00000000" w:rsidRPr="00000000">
        <w:rPr>
          <w:rtl w:val="0"/>
        </w:rPr>
        <w:t xml:space="preserve">Back to Back pole sign</w:t>
      </w:r>
    </w:p>
    <w:p w:rsidR="00000000" w:rsidDel="00000000" w:rsidP="00000000" w:rsidRDefault="00000000" w:rsidRPr="00000000" w14:paraId="0000000E">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F">
      <w:pPr>
        <w:numPr>
          <w:ilvl w:val="0"/>
          <w:numId w:val="1"/>
        </w:numPr>
        <w:spacing w:line="480" w:lineRule="auto"/>
        <w:ind w:left="720" w:hanging="360"/>
        <w:contextualSpacing w:val="1"/>
        <w:rPr>
          <w:u w:val="none"/>
        </w:rPr>
      </w:pPr>
      <w:r w:rsidDel="00000000" w:rsidR="00000000" w:rsidRPr="00000000">
        <w:rPr>
          <w:rtl w:val="0"/>
        </w:rPr>
        <w:t xml:space="preserve">Pole sign with reader board as primary portion of sign, top of frame for reader board has a pair of dice with a 4 and 3 side showing. Dice painted red as is traditional style for casinos, surrounded by skeleton neon tubing. “Pair A Dice” is painted in white with skeleton neon tubing outlining the wording. Reader board with cut out letters still used. Tiny bubble protruding from the bottom reads “Entrance Office” also painted in white and outlined with neon tubing. Address is painted on support pole. </w:t>
      </w:r>
    </w:p>
    <w:p w:rsidR="00000000" w:rsidDel="00000000" w:rsidP="00000000" w:rsidRDefault="00000000" w:rsidRPr="00000000" w14:paraId="00000010">
      <w:pPr>
        <w:numPr>
          <w:ilvl w:val="0"/>
          <w:numId w:val="1"/>
        </w:numPr>
        <w:spacing w:line="480" w:lineRule="auto"/>
        <w:ind w:left="720" w:hanging="360"/>
        <w:contextualSpacing w:val="1"/>
        <w:rPr>
          <w:u w:val="none"/>
        </w:rPr>
      </w:pPr>
      <w:r w:rsidDel="00000000" w:rsidR="00000000" w:rsidRPr="00000000">
        <w:rPr>
          <w:rtl w:val="0"/>
        </w:rPr>
        <w:t xml:space="preserve">No external markings for sign company or designer</w:t>
      </w:r>
    </w:p>
    <w:p w:rsidR="00000000" w:rsidDel="00000000" w:rsidP="00000000" w:rsidRDefault="00000000" w:rsidRPr="00000000" w14:paraId="00000011">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2">
      <w:pPr>
        <w:numPr>
          <w:ilvl w:val="0"/>
          <w:numId w:val="3"/>
        </w:numPr>
        <w:spacing w:line="480" w:lineRule="auto"/>
        <w:ind w:left="720" w:hanging="360"/>
        <w:contextualSpacing w:val="1"/>
        <w:rPr>
          <w:u w:val="none"/>
        </w:rPr>
      </w:pPr>
      <w:r w:rsidDel="00000000" w:rsidR="00000000" w:rsidRPr="00000000">
        <w:rPr>
          <w:rtl w:val="0"/>
        </w:rPr>
        <w:t xml:space="preserve">Neon</w:t>
      </w:r>
    </w:p>
    <w:p w:rsidR="00000000" w:rsidDel="00000000" w:rsidP="00000000" w:rsidRDefault="00000000" w:rsidRPr="00000000" w14:paraId="00000013">
      <w:pPr>
        <w:numPr>
          <w:ilvl w:val="0"/>
          <w:numId w:val="3"/>
        </w:numPr>
        <w:spacing w:line="480" w:lineRule="auto"/>
        <w:ind w:left="720" w:hanging="360"/>
        <w:contextualSpacing w:val="1"/>
        <w:rPr>
          <w:u w:val="none"/>
        </w:rPr>
      </w:pPr>
      <w:r w:rsidDel="00000000" w:rsidR="00000000" w:rsidRPr="00000000">
        <w:rPr>
          <w:rtl w:val="0"/>
        </w:rPr>
        <w:t xml:space="preserve">Reader Board</w:t>
      </w:r>
    </w:p>
    <w:p w:rsidR="00000000" w:rsidDel="00000000" w:rsidP="00000000" w:rsidRDefault="00000000" w:rsidRPr="00000000" w14:paraId="00000014">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5">
      <w:pPr>
        <w:numPr>
          <w:ilvl w:val="0"/>
          <w:numId w:val="7"/>
        </w:numPr>
        <w:spacing w:line="480" w:lineRule="auto"/>
        <w:ind w:left="720" w:hanging="360"/>
        <w:contextualSpacing w:val="1"/>
        <w:rPr>
          <w:u w:val="none"/>
        </w:rPr>
      </w:pPr>
      <w:r w:rsidDel="00000000" w:rsidR="00000000" w:rsidRPr="00000000">
        <w:rPr>
          <w:rtl w:val="0"/>
        </w:rPr>
        <w:t xml:space="preserve">Steel</w:t>
      </w:r>
    </w:p>
    <w:p w:rsidR="00000000" w:rsidDel="00000000" w:rsidP="00000000" w:rsidRDefault="00000000" w:rsidRPr="00000000" w14:paraId="00000016">
      <w:pPr>
        <w:numPr>
          <w:ilvl w:val="0"/>
          <w:numId w:val="7"/>
        </w:numPr>
        <w:spacing w:line="480" w:lineRule="auto"/>
        <w:ind w:left="720" w:hanging="360"/>
        <w:contextualSpacing w:val="1"/>
        <w:rPr>
          <w:u w:val="none"/>
        </w:rPr>
      </w:pPr>
      <w:r w:rsidDel="00000000" w:rsidR="00000000" w:rsidRPr="00000000">
        <w:rPr>
          <w:rtl w:val="0"/>
        </w:rPr>
        <w:t xml:space="preserve">Plastic</w:t>
      </w:r>
    </w:p>
    <w:p w:rsidR="00000000" w:rsidDel="00000000" w:rsidP="00000000" w:rsidRDefault="00000000" w:rsidRPr="00000000" w14:paraId="00000017">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8">
      <w:pPr>
        <w:numPr>
          <w:ilvl w:val="0"/>
          <w:numId w:val="14"/>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9">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A">
      <w:pPr>
        <w:numPr>
          <w:ilvl w:val="0"/>
          <w:numId w:val="16"/>
        </w:numPr>
        <w:spacing w:line="480" w:lineRule="auto"/>
        <w:ind w:left="720" w:hanging="360"/>
        <w:contextualSpacing w:val="1"/>
        <w:rPr>
          <w:u w:val="none"/>
        </w:rPr>
      </w:pPr>
      <w:r w:rsidDel="00000000" w:rsidR="00000000" w:rsidRPr="00000000">
        <w:rPr>
          <w:rtl w:val="0"/>
        </w:rPr>
        <w:t xml:space="preserve">None</w:t>
      </w:r>
    </w:p>
    <w:p w:rsidR="00000000" w:rsidDel="00000000" w:rsidP="00000000" w:rsidRDefault="00000000" w:rsidRPr="00000000" w14:paraId="0000001B">
      <w:pPr>
        <w:spacing w:line="480" w:lineRule="auto"/>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1C">
      <w:pPr>
        <w:numPr>
          <w:ilvl w:val="0"/>
          <w:numId w:val="10"/>
        </w:numPr>
        <w:spacing w:line="480" w:lineRule="auto"/>
        <w:ind w:left="720" w:hanging="360"/>
        <w:contextualSpacing w:val="1"/>
        <w:rPr>
          <w:u w:val="none"/>
        </w:rPr>
      </w:pPr>
      <w:r w:rsidDel="00000000" w:rsidR="00000000" w:rsidRPr="00000000">
        <w:rPr>
          <w:rtl w:val="0"/>
        </w:rPr>
        <w:t xml:space="preserve">Motels</w:t>
      </w:r>
    </w:p>
    <w:p w:rsidR="00000000" w:rsidDel="00000000" w:rsidP="00000000" w:rsidRDefault="00000000" w:rsidRPr="00000000" w14:paraId="0000001D">
      <w:pPr>
        <w:numPr>
          <w:ilvl w:val="0"/>
          <w:numId w:val="10"/>
        </w:numPr>
        <w:spacing w:line="480" w:lineRule="auto"/>
        <w:ind w:left="720" w:hanging="360"/>
        <w:contextualSpacing w:val="1"/>
        <w:rPr>
          <w:u w:val="none"/>
        </w:rPr>
      </w:pPr>
      <w:r w:rsidDel="00000000" w:rsidR="00000000" w:rsidRPr="00000000">
        <w:rPr>
          <w:rtl w:val="0"/>
        </w:rPr>
        <w:t xml:space="preserve">Residential</w:t>
      </w:r>
    </w:p>
    <w:p w:rsidR="00000000" w:rsidDel="00000000" w:rsidP="00000000" w:rsidRDefault="00000000" w:rsidRPr="00000000" w14:paraId="0000001E">
      <w:pPr>
        <w:numPr>
          <w:ilvl w:val="0"/>
          <w:numId w:val="10"/>
        </w:numPr>
        <w:spacing w:line="480" w:lineRule="auto"/>
        <w:ind w:left="720" w:hanging="360"/>
        <w:contextualSpacing w:val="1"/>
        <w:rPr>
          <w:u w:val="none"/>
        </w:rPr>
      </w:pPr>
      <w:r w:rsidDel="00000000" w:rsidR="00000000" w:rsidRPr="00000000">
        <w:rPr>
          <w:rtl w:val="0"/>
        </w:rPr>
        <w:t xml:space="preserve">Shops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p>
    <w:p w:rsidR="00000000" w:rsidDel="00000000" w:rsidP="00000000" w:rsidRDefault="00000000" w:rsidRPr="00000000" w14:paraId="0000002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 </w:t>
      </w:r>
    </w:p>
    <w:p w:rsidR="00000000" w:rsidDel="00000000" w:rsidP="00000000" w:rsidRDefault="00000000" w:rsidRPr="00000000" w14:paraId="0000002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 but is not original from 1953 “</w:t>
      </w:r>
      <w:r w:rsidDel="00000000" w:rsidR="00000000" w:rsidRPr="00000000">
        <w:rPr>
          <w:rFonts w:ascii="Trebuchet MS" w:cs="Trebuchet MS" w:eastAsia="Trebuchet MS" w:hAnsi="Trebuchet MS"/>
          <w:sz w:val="20"/>
          <w:szCs w:val="20"/>
          <w:rtl w:val="0"/>
        </w:rPr>
        <w:t xml:space="preserve">The motel originally had a rooftop sign topped with a pair of giant dice. That sign was consumed by a fire in the mid-1990s. “ - http://www.roadarch.com/signs/nvvegas2.html</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p>
    <w:p w:rsidR="00000000" w:rsidDel="00000000" w:rsidP="00000000" w:rsidRDefault="00000000" w:rsidRPr="00000000" w14:paraId="00000027">
      <w:pPr>
        <w:widowControl w:val="1"/>
        <w:numPr>
          <w:ilvl w:val="0"/>
          <w:numId w:val="11"/>
        </w:numPr>
        <w:shd w:fill="ffffff" w:val="clear"/>
        <w:spacing w:after="320" w:line="240" w:lineRule="auto"/>
        <w:ind w:left="720" w:hanging="360"/>
        <w:rPr/>
      </w:pPr>
      <w:r w:rsidDel="00000000" w:rsidR="00000000" w:rsidRPr="00000000">
        <w:rPr>
          <w:rFonts w:ascii="Trebuchet MS" w:cs="Trebuchet MS" w:eastAsia="Trebuchet MS" w:hAnsi="Trebuchet MS"/>
          <w:sz w:val="20"/>
          <w:szCs w:val="20"/>
          <w:rtl w:val="0"/>
        </w:rPr>
        <w:t xml:space="preserve">“The motel originally had a rooftop sign topped with a pair of giant dice. That sign was consumed by a fire in the mid-1990” - http://www.roadarch.com/signs/nvvegas2.html</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Casino themed, seemed to be popular in the 50s for fremont street motels</w:t>
      </w:r>
    </w:p>
    <w:p w:rsidR="00000000" w:rsidDel="00000000" w:rsidP="00000000" w:rsidRDefault="00000000" w:rsidRPr="00000000" w14:paraId="0000002A">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B">
      <w:pPr>
        <w:numPr>
          <w:ilvl w:val="0"/>
          <w:numId w:val="13"/>
        </w:numPr>
        <w:spacing w:after="0"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2C">
      <w:pPr>
        <w:spacing w:after="0" w:line="48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E">
      <w:pPr>
        <w:numPr>
          <w:ilvl w:val="0"/>
          <w:numId w:val="15"/>
        </w:numPr>
        <w:spacing w:line="240" w:lineRule="auto"/>
        <w:ind w:left="720" w:hanging="360"/>
        <w:contextualSpacing w:val="1"/>
        <w:rPr>
          <w:u w:val="none"/>
        </w:rPr>
      </w:pPr>
      <w:r w:rsidDel="00000000" w:rsidR="00000000" w:rsidRPr="00000000">
        <w:rPr>
          <w:rtl w:val="0"/>
        </w:rPr>
        <w:t xml:space="preserve">lot site</w:t>
      </w:r>
    </w:p>
    <w:p w:rsidR="00000000" w:rsidDel="00000000" w:rsidP="00000000" w:rsidRDefault="00000000" w:rsidRPr="00000000" w14:paraId="0000002F">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0">
      <w:pPr>
        <w:numPr>
          <w:ilvl w:val="0"/>
          <w:numId w:val="9"/>
        </w:numPr>
        <w:spacing w:line="240" w:lineRule="auto"/>
        <w:ind w:left="720" w:hanging="360"/>
        <w:contextualSpacing w:val="1"/>
        <w:rPr>
          <w:u w:val="none"/>
        </w:rPr>
      </w:pPr>
      <w:r w:rsidDel="00000000" w:rsidR="00000000" w:rsidRPr="00000000">
        <w:rPr>
          <w:rtl w:val="0"/>
        </w:rPr>
        <w:t xml:space="preserve">Dead end of ownership and contacts</w:t>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3">
      <w:pPr>
        <w:numPr>
          <w:ilvl w:val="0"/>
          <w:numId w:val="5"/>
        </w:numPr>
        <w:spacing w:line="240" w:lineRule="auto"/>
        <w:ind w:left="720" w:hanging="360"/>
        <w:contextualSpacing w:val="1"/>
        <w:rPr>
          <w:u w:val="none"/>
        </w:rPr>
      </w:pPr>
      <w:r w:rsidDel="00000000" w:rsidR="00000000" w:rsidRPr="00000000">
        <w:rPr>
          <w:rtl w:val="0"/>
        </w:rPr>
        <w:t xml:space="preserve">N/A</w:t>
      </w:r>
    </w:p>
    <w:p w:rsidR="00000000" w:rsidDel="00000000" w:rsidP="00000000" w:rsidRDefault="00000000" w:rsidRPr="00000000" w14:paraId="00000034">
      <w:pPr>
        <w:spacing w:after="280" w:before="280" w:line="48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Danny Jacobs</w:t>
        <w:tab/>
        <w:tab/>
        <w:tab/>
        <w:tab/>
        <w:tab/>
        <w:tab/>
        <w:tab/>
        <w:t xml:space="preserve">     8/12/2017</w:t>
      </w:r>
    </w:p>
    <w:p w:rsidR="00000000" w:rsidDel="00000000" w:rsidP="00000000" w:rsidRDefault="00000000" w:rsidRPr="00000000" w14:paraId="00000037">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38">
      <w:pPr>
        <w:spacing w:line="240" w:lineRule="auto"/>
        <w:contextualSpacing w:val="0"/>
        <w:rPr>
          <w:b w:val="1"/>
        </w:rPr>
      </w:pPr>
      <w:r w:rsidDel="00000000" w:rsidR="00000000" w:rsidRPr="00000000">
        <w:rPr>
          <w:rtl w:val="0"/>
        </w:rPr>
      </w:r>
    </w:p>
    <w:p w:rsidR="00000000" w:rsidDel="00000000" w:rsidP="00000000" w:rsidRDefault="00000000" w:rsidRPr="00000000" w14:paraId="00000039">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