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Arial" w:cs="Arial" w:eastAsia="Arial" w:hAnsi="Arial"/>
          <w:color w:val="801c0c"/>
          <w:sz w:val="27"/>
          <w:szCs w:val="27"/>
        </w:rPr>
      </w:pPr>
      <w:r w:rsidDel="00000000" w:rsidR="00000000" w:rsidRPr="00000000">
        <w:rPr>
          <w:rFonts w:ascii="Arial" w:cs="Arial" w:eastAsia="Arial" w:hAnsi="Arial"/>
          <w:color w:val="801c0c"/>
          <w:sz w:val="27"/>
          <w:szCs w:val="27"/>
          <w:rtl w:val="0"/>
        </w:rPr>
        <w:t xml:space="preserve">Neon Sign Survey</w:t>
      </w:r>
    </w:p>
    <w:p w:rsidR="00000000" w:rsidDel="00000000" w:rsidP="00000000" w:rsidRDefault="00000000" w:rsidRPr="00000000" w14:paraId="00000001">
      <w:pPr>
        <w:contextualSpacing w:val="0"/>
        <w:rPr>
          <w:rFonts w:ascii="Arial" w:cs="Arial" w:eastAsia="Arial" w:hAnsi="Arial"/>
          <w:color w:val="801c0c"/>
          <w:sz w:val="27"/>
          <w:szCs w:val="27"/>
        </w:rPr>
      </w:pPr>
      <w:r w:rsidDel="00000000" w:rsidR="00000000" w:rsidRPr="00000000">
        <w:rPr>
          <w:rFonts w:ascii="Arial" w:cs="Arial" w:eastAsia="Arial" w:hAnsi="Arial"/>
          <w:color w:val="801c0c"/>
          <w:sz w:val="27"/>
          <w:szCs w:val="27"/>
          <w:rtl w:val="0"/>
        </w:rPr>
        <w:t xml:space="preserve">Description of sign(s)</w:t>
      </w:r>
    </w:p>
    <w:p w:rsidR="00000000" w:rsidDel="00000000" w:rsidP="00000000" w:rsidRDefault="00000000" w:rsidRPr="00000000" w14:paraId="00000002">
      <w:pPr>
        <w:spacing w:line="480" w:lineRule="auto"/>
        <w:contextualSpacing w:val="0"/>
        <w:rPr/>
      </w:pPr>
      <w:r w:rsidDel="00000000" w:rsidR="00000000" w:rsidRPr="00000000">
        <w:rPr>
          <w:rtl w:val="0"/>
        </w:rPr>
        <w:t xml:space="preserve">1. Name:  Atomic Liquors</w:t>
      </w:r>
    </w:p>
    <w:p w:rsidR="00000000" w:rsidDel="00000000" w:rsidP="00000000" w:rsidRDefault="00000000" w:rsidRPr="00000000" w14:paraId="00000003">
      <w:pPr>
        <w:spacing w:line="480" w:lineRule="auto"/>
        <w:contextualSpacing w:val="0"/>
        <w:rPr/>
      </w:pPr>
      <w:r w:rsidDel="00000000" w:rsidR="00000000" w:rsidRPr="00000000">
        <w:rPr>
          <w:rtl w:val="0"/>
        </w:rPr>
        <w:t xml:space="preserve">2. Owner: 100 10th Street LLC</w:t>
      </w:r>
    </w:p>
    <w:p w:rsidR="00000000" w:rsidDel="00000000" w:rsidP="00000000" w:rsidRDefault="00000000" w:rsidRPr="00000000" w14:paraId="00000004">
      <w:pPr>
        <w:spacing w:line="480" w:lineRule="auto"/>
        <w:contextualSpacing w:val="0"/>
        <w:rPr/>
      </w:pPr>
      <w:r w:rsidDel="00000000" w:rsidR="00000000" w:rsidRPr="00000000">
        <w:rPr>
          <w:rtl w:val="0"/>
        </w:rPr>
        <w:t xml:space="preserve">3. Address: 917 Fremont Street 89101 (also paired with 927 Fremont Street)</w:t>
      </w:r>
    </w:p>
    <w:p w:rsidR="00000000" w:rsidDel="00000000" w:rsidP="00000000" w:rsidRDefault="00000000" w:rsidRPr="00000000" w14:paraId="00000005">
      <w:pPr>
        <w:spacing w:line="480" w:lineRule="auto"/>
        <w:ind w:firstLine="720"/>
        <w:contextualSpacing w:val="0"/>
        <w:rPr/>
      </w:pPr>
      <w:r w:rsidDel="00000000" w:rsidR="00000000" w:rsidRPr="00000000">
        <w:rPr>
          <w:rtl w:val="0"/>
        </w:rPr>
        <w:t xml:space="preserve">3b. Additional Site Details (information on site, site history, owner comments): </w:t>
      </w:r>
    </w:p>
    <w:p w:rsidR="00000000" w:rsidDel="00000000" w:rsidP="00000000" w:rsidRDefault="00000000" w:rsidRPr="00000000" w14:paraId="00000006">
      <w:pPr>
        <w:numPr>
          <w:ilvl w:val="0"/>
          <w:numId w:val="1"/>
        </w:numPr>
        <w:spacing w:line="480" w:lineRule="auto"/>
        <w:ind w:left="1440" w:hanging="360"/>
        <w:contextualSpacing w:val="1"/>
        <w:rPr>
          <w:u w:val="none"/>
        </w:rPr>
      </w:pPr>
      <w:r w:rsidDel="00000000" w:rsidR="00000000" w:rsidRPr="00000000">
        <w:rPr>
          <w:rtl w:val="0"/>
        </w:rPr>
        <w:t xml:space="preserve">Sold by Lance Johns to 100th 10th Street LLC in 2014, sold for 3,480,000</w:t>
      </w:r>
    </w:p>
    <w:p w:rsidR="00000000" w:rsidDel="00000000" w:rsidP="00000000" w:rsidRDefault="00000000" w:rsidRPr="00000000" w14:paraId="00000007">
      <w:pPr>
        <w:numPr>
          <w:ilvl w:val="0"/>
          <w:numId w:val="1"/>
        </w:numPr>
        <w:spacing w:line="480" w:lineRule="auto"/>
        <w:ind w:left="1440" w:hanging="360"/>
        <w:contextualSpacing w:val="1"/>
        <w:rPr>
          <w:u w:val="none"/>
        </w:rPr>
      </w:pPr>
      <w:r w:rsidDel="00000000" w:rsidR="00000000" w:rsidRPr="00000000">
        <w:rPr>
          <w:rtl w:val="0"/>
        </w:rPr>
        <w:t xml:space="preserve">recorded in March 2016(?)</w:t>
      </w:r>
    </w:p>
    <w:p w:rsidR="00000000" w:rsidDel="00000000" w:rsidP="00000000" w:rsidRDefault="00000000" w:rsidRPr="00000000" w14:paraId="00000008">
      <w:pPr>
        <w:numPr>
          <w:ilvl w:val="0"/>
          <w:numId w:val="1"/>
        </w:numPr>
        <w:spacing w:line="480" w:lineRule="auto"/>
        <w:ind w:left="1440" w:hanging="360"/>
        <w:contextualSpacing w:val="1"/>
        <w:rPr>
          <w:u w:val="none"/>
        </w:rPr>
      </w:pPr>
      <w:r w:rsidDel="00000000" w:rsidR="00000000" w:rsidRPr="00000000">
        <w:rPr>
          <w:rtl w:val="0"/>
        </w:rPr>
        <w:t xml:space="preserve">Still in Business</w:t>
      </w:r>
    </w:p>
    <w:p w:rsidR="00000000" w:rsidDel="00000000" w:rsidP="00000000" w:rsidRDefault="00000000" w:rsidRPr="00000000" w14:paraId="00000009">
      <w:pPr>
        <w:spacing w:after="0" w:line="480" w:lineRule="auto"/>
        <w:contextualSpacing w:val="0"/>
        <w:rPr/>
      </w:pPr>
      <w:r w:rsidDel="00000000" w:rsidR="00000000" w:rsidRPr="00000000">
        <w:rPr>
          <w:rtl w:val="0"/>
        </w:rPr>
        <w:t xml:space="preserve">4. Condition (1-5 scale, with 5 being excellent, written description): </w:t>
      </w:r>
    </w:p>
    <w:p w:rsidR="00000000" w:rsidDel="00000000" w:rsidP="00000000" w:rsidRDefault="00000000" w:rsidRPr="00000000" w14:paraId="0000000A">
      <w:pPr>
        <w:numPr>
          <w:ilvl w:val="0"/>
          <w:numId w:val="2"/>
        </w:numPr>
        <w:spacing w:after="0" w:line="480" w:lineRule="auto"/>
        <w:ind w:left="720" w:hanging="360"/>
        <w:contextualSpacing w:val="1"/>
        <w:rPr>
          <w:u w:val="none"/>
        </w:rPr>
      </w:pPr>
      <w:r w:rsidDel="00000000" w:rsidR="00000000" w:rsidRPr="00000000">
        <w:rPr>
          <w:rtl w:val="0"/>
        </w:rPr>
        <w:t xml:space="preserve">3 - Decent: neon in great condition, paint chipping off and some bulbs not repaired</w:t>
      </w:r>
      <w:r w:rsidDel="00000000" w:rsidR="00000000" w:rsidRPr="00000000">
        <w:rPr>
          <w:rtl w:val="0"/>
        </w:rPr>
      </w:r>
    </w:p>
    <w:p w:rsidR="00000000" w:rsidDel="00000000" w:rsidP="00000000" w:rsidRDefault="00000000" w:rsidRPr="00000000" w14:paraId="0000000B">
      <w:pPr>
        <w:spacing w:line="480" w:lineRule="auto"/>
        <w:contextualSpacing w:val="0"/>
        <w:rPr/>
      </w:pPr>
      <w:r w:rsidDel="00000000" w:rsidR="00000000" w:rsidRPr="00000000">
        <w:rPr>
          <w:rtl w:val="0"/>
        </w:rPr>
        <w:t xml:space="preserve">5. Form (pylon, blade, porte cochere, etc): </w:t>
      </w:r>
    </w:p>
    <w:p w:rsidR="00000000" w:rsidDel="00000000" w:rsidP="00000000" w:rsidRDefault="00000000" w:rsidRPr="00000000" w14:paraId="0000000C">
      <w:pPr>
        <w:numPr>
          <w:ilvl w:val="0"/>
          <w:numId w:val="11"/>
        </w:numPr>
        <w:spacing w:line="480" w:lineRule="auto"/>
        <w:ind w:left="720" w:hanging="360"/>
        <w:contextualSpacing w:val="1"/>
        <w:rPr>
          <w:u w:val="none"/>
        </w:rPr>
      </w:pPr>
      <w:r w:rsidDel="00000000" w:rsidR="00000000" w:rsidRPr="00000000">
        <w:rPr>
          <w:rtl w:val="0"/>
        </w:rPr>
        <w:t xml:space="preserve">Directional Monument sign, back to back “Double sided”</w:t>
      </w:r>
    </w:p>
    <w:p w:rsidR="00000000" w:rsidDel="00000000" w:rsidP="00000000" w:rsidRDefault="00000000" w:rsidRPr="00000000" w14:paraId="0000000D">
      <w:pPr>
        <w:spacing w:line="480" w:lineRule="auto"/>
        <w:contextualSpacing w:val="0"/>
        <w:rPr/>
      </w:pPr>
      <w:r w:rsidDel="00000000" w:rsidR="00000000" w:rsidRPr="00000000">
        <w:rPr>
          <w:rtl w:val="0"/>
        </w:rPr>
        <w:t xml:space="preserve">6. Specific Description: </w:t>
      </w:r>
    </w:p>
    <w:p w:rsidR="00000000" w:rsidDel="00000000" w:rsidP="00000000" w:rsidRDefault="00000000" w:rsidRPr="00000000" w14:paraId="0000000E">
      <w:pPr>
        <w:numPr>
          <w:ilvl w:val="0"/>
          <w:numId w:val="12"/>
        </w:numPr>
        <w:spacing w:line="480" w:lineRule="auto"/>
        <w:ind w:left="720" w:hanging="360"/>
        <w:contextualSpacing w:val="1"/>
        <w:rPr>
          <w:u w:val="none"/>
        </w:rPr>
      </w:pPr>
      <w:r w:rsidDel="00000000" w:rsidR="00000000" w:rsidRPr="00000000">
        <w:rPr>
          <w:rtl w:val="0"/>
        </w:rPr>
        <w:t xml:space="preserve">Uses directional tool of an arrow, has chasing animation in the arrow with incandescent bulbs. It has blade like additions to it for the word “Liquor” and “Cocktails”, each word on its own blade which are parallel to the ground, they are painted red. The word “Atomic” sits on the top in a comic style “blast” shaped bubble painted yellow. “Packaged liquors” and “Cold beer” painted on the base structure of the sign. Bulbs glow yellow, “Liquor” glows blue, “Cocktails” glows red, “Atomic” is not lit. </w:t>
      </w:r>
    </w:p>
    <w:p w:rsidR="00000000" w:rsidDel="00000000" w:rsidP="00000000" w:rsidRDefault="00000000" w:rsidRPr="00000000" w14:paraId="0000000F">
      <w:pPr>
        <w:numPr>
          <w:ilvl w:val="0"/>
          <w:numId w:val="12"/>
        </w:numPr>
        <w:spacing w:line="480" w:lineRule="auto"/>
        <w:ind w:left="720" w:hanging="360"/>
        <w:contextualSpacing w:val="1"/>
        <w:rPr/>
      </w:pPr>
      <w:r w:rsidDel="00000000" w:rsidR="00000000" w:rsidRPr="00000000">
        <w:rPr>
          <w:rtl w:val="0"/>
        </w:rPr>
        <w:t xml:space="preserve">No external markings for sign company or designer</w:t>
      </w:r>
    </w:p>
    <w:p w:rsidR="00000000" w:rsidDel="00000000" w:rsidP="00000000" w:rsidRDefault="00000000" w:rsidRPr="00000000" w14:paraId="00000010">
      <w:pPr>
        <w:spacing w:line="480" w:lineRule="auto"/>
        <w:contextualSpacing w:val="0"/>
        <w:rPr/>
      </w:pPr>
      <w:r w:rsidDel="00000000" w:rsidR="00000000" w:rsidRPr="00000000">
        <w:rPr>
          <w:rtl w:val="0"/>
        </w:rPr>
        <w:t xml:space="preserve">7. Type of Display (neon, incandescent, etc): </w:t>
      </w:r>
    </w:p>
    <w:p w:rsidR="00000000" w:rsidDel="00000000" w:rsidP="00000000" w:rsidRDefault="00000000" w:rsidRPr="00000000" w14:paraId="00000011">
      <w:pPr>
        <w:numPr>
          <w:ilvl w:val="0"/>
          <w:numId w:val="16"/>
        </w:numPr>
        <w:spacing w:line="480" w:lineRule="auto"/>
        <w:ind w:left="720" w:hanging="360"/>
        <w:contextualSpacing w:val="1"/>
        <w:rPr>
          <w:u w:val="none"/>
        </w:rPr>
      </w:pPr>
      <w:r w:rsidDel="00000000" w:rsidR="00000000" w:rsidRPr="00000000">
        <w:rPr>
          <w:rtl w:val="0"/>
        </w:rPr>
        <w:t xml:space="preserve">Neon with two colors Blue and Red, Yellow Incandescent bulbs</w:t>
      </w:r>
    </w:p>
    <w:p w:rsidR="00000000" w:rsidDel="00000000" w:rsidP="00000000" w:rsidRDefault="00000000" w:rsidRPr="00000000" w14:paraId="00000012">
      <w:pPr>
        <w:spacing w:line="480" w:lineRule="auto"/>
        <w:contextualSpacing w:val="0"/>
        <w:rPr/>
      </w:pPr>
      <w:r w:rsidDel="00000000" w:rsidR="00000000" w:rsidRPr="00000000">
        <w:rPr>
          <w:rtl w:val="0"/>
        </w:rPr>
        <w:t xml:space="preserve">8. Media (steel, plastic, fiberglass, etc): </w:t>
      </w:r>
    </w:p>
    <w:p w:rsidR="00000000" w:rsidDel="00000000" w:rsidP="00000000" w:rsidRDefault="00000000" w:rsidRPr="00000000" w14:paraId="00000013">
      <w:pPr>
        <w:numPr>
          <w:ilvl w:val="0"/>
          <w:numId w:val="9"/>
        </w:numPr>
        <w:spacing w:line="480" w:lineRule="auto"/>
        <w:ind w:left="720" w:hanging="360"/>
        <w:contextualSpacing w:val="1"/>
        <w:rPr>
          <w:u w:val="none"/>
        </w:rPr>
      </w:pPr>
      <w:r w:rsidDel="00000000" w:rsidR="00000000" w:rsidRPr="00000000">
        <w:rPr>
          <w:rtl w:val="0"/>
        </w:rPr>
        <w:t xml:space="preserve">Steel</w:t>
      </w:r>
    </w:p>
    <w:p w:rsidR="00000000" w:rsidDel="00000000" w:rsidP="00000000" w:rsidRDefault="00000000" w:rsidRPr="00000000" w14:paraId="00000014">
      <w:pPr>
        <w:spacing w:line="480" w:lineRule="auto"/>
        <w:contextualSpacing w:val="0"/>
        <w:rPr/>
      </w:pPr>
      <w:r w:rsidDel="00000000" w:rsidR="00000000" w:rsidRPr="00000000">
        <w:rPr>
          <w:rtl w:val="0"/>
        </w:rPr>
        <w:t xml:space="preserve">9. Non-neon treatments: </w:t>
      </w:r>
    </w:p>
    <w:p w:rsidR="00000000" w:rsidDel="00000000" w:rsidP="00000000" w:rsidRDefault="00000000" w:rsidRPr="00000000" w14:paraId="00000015">
      <w:pPr>
        <w:numPr>
          <w:ilvl w:val="0"/>
          <w:numId w:val="17"/>
        </w:numPr>
        <w:spacing w:line="480" w:lineRule="auto"/>
        <w:ind w:left="720" w:hanging="360"/>
        <w:contextualSpacing w:val="1"/>
        <w:rPr>
          <w:u w:val="none"/>
        </w:rPr>
      </w:pPr>
      <w:r w:rsidDel="00000000" w:rsidR="00000000" w:rsidRPr="00000000">
        <w:rPr>
          <w:rtl w:val="0"/>
        </w:rPr>
        <w:t xml:space="preserve">Unknown</w:t>
      </w:r>
    </w:p>
    <w:p w:rsidR="00000000" w:rsidDel="00000000" w:rsidP="00000000" w:rsidRDefault="00000000" w:rsidRPr="00000000" w14:paraId="00000016">
      <w:pPr>
        <w:spacing w:line="480" w:lineRule="auto"/>
        <w:contextualSpacing w:val="0"/>
        <w:rPr/>
      </w:pPr>
      <w:r w:rsidDel="00000000" w:rsidR="00000000" w:rsidRPr="00000000">
        <w:rPr>
          <w:rtl w:val="0"/>
        </w:rPr>
        <w:t xml:space="preserve">10. Animation: </w:t>
      </w:r>
    </w:p>
    <w:p w:rsidR="00000000" w:rsidDel="00000000" w:rsidP="00000000" w:rsidRDefault="00000000" w:rsidRPr="00000000" w14:paraId="00000017">
      <w:pPr>
        <w:numPr>
          <w:ilvl w:val="0"/>
          <w:numId w:val="6"/>
        </w:numPr>
        <w:spacing w:line="480" w:lineRule="auto"/>
        <w:ind w:left="720" w:hanging="360"/>
        <w:contextualSpacing w:val="1"/>
        <w:rPr>
          <w:u w:val="none"/>
        </w:rPr>
      </w:pPr>
      <w:r w:rsidDel="00000000" w:rsidR="00000000" w:rsidRPr="00000000">
        <w:rPr>
          <w:rtl w:val="0"/>
        </w:rPr>
        <w:t xml:space="preserve">Chaser effect with bulbs</w:t>
      </w:r>
    </w:p>
    <w:p w:rsidR="00000000" w:rsidDel="00000000" w:rsidP="00000000" w:rsidRDefault="00000000" w:rsidRPr="00000000" w14:paraId="00000018">
      <w:pPr>
        <w:spacing w:line="480" w:lineRule="auto"/>
        <w:contextualSpacing w:val="0"/>
        <w:rPr/>
      </w:pPr>
      <w:r w:rsidDel="00000000" w:rsidR="00000000" w:rsidRPr="00000000">
        <w:rPr>
          <w:rtl w:val="0"/>
        </w:rPr>
        <w:t xml:space="preserve">11.  Environment (surrounding properties, neighborhood):</w:t>
      </w:r>
    </w:p>
    <w:p w:rsidR="00000000" w:rsidDel="00000000" w:rsidP="00000000" w:rsidRDefault="00000000" w:rsidRPr="00000000" w14:paraId="00000019">
      <w:pPr>
        <w:numPr>
          <w:ilvl w:val="0"/>
          <w:numId w:val="4"/>
        </w:numPr>
        <w:spacing w:line="480" w:lineRule="auto"/>
        <w:ind w:left="720" w:hanging="360"/>
        <w:contextualSpacing w:val="1"/>
        <w:rPr>
          <w:u w:val="none"/>
        </w:rPr>
      </w:pPr>
      <w:r w:rsidDel="00000000" w:rsidR="00000000" w:rsidRPr="00000000">
        <w:rPr>
          <w:rtl w:val="0"/>
        </w:rPr>
        <w:t xml:space="preserve">they own a kitchen next door to the bar</w:t>
      </w:r>
    </w:p>
    <w:p w:rsidR="00000000" w:rsidDel="00000000" w:rsidP="00000000" w:rsidRDefault="00000000" w:rsidRPr="00000000" w14:paraId="0000001A">
      <w:pPr>
        <w:numPr>
          <w:ilvl w:val="0"/>
          <w:numId w:val="4"/>
        </w:numPr>
        <w:spacing w:line="480" w:lineRule="auto"/>
        <w:ind w:left="720" w:hanging="360"/>
        <w:contextualSpacing w:val="1"/>
        <w:rPr>
          <w:u w:val="none"/>
        </w:rPr>
      </w:pPr>
      <w:r w:rsidDel="00000000" w:rsidR="00000000" w:rsidRPr="00000000">
        <w:rPr>
          <w:rtl w:val="0"/>
        </w:rPr>
        <w:t xml:space="preserve">bars</w:t>
      </w:r>
    </w:p>
    <w:p w:rsidR="00000000" w:rsidDel="00000000" w:rsidP="00000000" w:rsidRDefault="00000000" w:rsidRPr="00000000" w14:paraId="0000001B">
      <w:pPr>
        <w:numPr>
          <w:ilvl w:val="0"/>
          <w:numId w:val="4"/>
        </w:numPr>
        <w:spacing w:line="480" w:lineRule="auto"/>
        <w:ind w:left="720" w:hanging="360"/>
        <w:contextualSpacing w:val="1"/>
        <w:rPr>
          <w:u w:val="none"/>
        </w:rPr>
      </w:pPr>
      <w:r w:rsidDel="00000000" w:rsidR="00000000" w:rsidRPr="00000000">
        <w:rPr>
          <w:rtl w:val="0"/>
        </w:rPr>
        <w:t xml:space="preserve">clubs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1c0c"/>
          <w:sz w:val="27"/>
          <w:szCs w:val="27"/>
          <w:u w:val="none"/>
          <w:shd w:fill="auto" w:val="clear"/>
          <w:vertAlign w:val="baseline"/>
          <w:rtl w:val="0"/>
        </w:rPr>
        <w:t xml:space="preserve">Artistic Context</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Manufacturer: </w:t>
      </w:r>
    </w:p>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Designer: Architect of Record: </w:t>
      </w:r>
    </w:p>
    <w:p w:rsidR="00000000" w:rsidDel="00000000" w:rsidP="00000000" w:rsidRDefault="00000000" w:rsidRPr="00000000" w14:paraId="0000002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Date of Installation: </w:t>
      </w:r>
    </w:p>
    <w:p w:rsidR="00000000" w:rsidDel="00000000" w:rsidP="00000000" w:rsidRDefault="00000000" w:rsidRPr="00000000" w14:paraId="0000002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Possibly 1950s, around when it opened in 1952 - </w:t>
      </w:r>
      <w:r w:rsidDel="00000000" w:rsidR="00000000" w:rsidRPr="00000000">
        <w:rPr>
          <w:rFonts w:ascii="Trebuchet MS" w:cs="Trebuchet MS" w:eastAsia="Trebuchet MS" w:hAnsi="Trebuchet MS"/>
          <w:sz w:val="20"/>
          <w:szCs w:val="20"/>
          <w:rtl w:val="0"/>
        </w:rPr>
        <w:t xml:space="preserve">http://www.roadarch.com/signs/nvvegas2.html</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Date(s) of any major redesign/move: </w:t>
      </w:r>
    </w:p>
    <w:p w:rsidR="00000000" w:rsidDel="00000000" w:rsidP="00000000" w:rsidRDefault="00000000" w:rsidRPr="00000000" w14:paraId="0000002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Thematic Influence (design elements found on similar signs, elements related to the property, linkage to previous themes, trends, context): </w:t>
      </w:r>
    </w:p>
    <w:p w:rsidR="00000000" w:rsidDel="00000000" w:rsidP="00000000" w:rsidRDefault="00000000" w:rsidRPr="00000000" w14:paraId="0000002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pPr>
      <w:r w:rsidDel="00000000" w:rsidR="00000000" w:rsidRPr="00000000">
        <w:rPr>
          <w:rtl w:val="0"/>
        </w:rPr>
        <w:t xml:space="preserve">6. Artistic Significance (themes and representation, era: time and design, trends, context): </w:t>
      </w:r>
    </w:p>
    <w:p w:rsidR="00000000" w:rsidDel="00000000" w:rsidP="00000000" w:rsidRDefault="00000000" w:rsidRPr="00000000" w14:paraId="00000028">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1c0c"/>
          <w:sz w:val="27"/>
          <w:szCs w:val="27"/>
          <w:u w:val="none"/>
          <w:shd w:fill="auto" w:val="clear"/>
          <w:vertAlign w:val="baseline"/>
          <w:rtl w:val="0"/>
        </w:rPr>
        <w:t xml:space="preserve">Surveyor Notes</w:t>
      </w:r>
      <w:r w:rsidDel="00000000" w:rsidR="00000000" w:rsidRPr="00000000">
        <w:rPr>
          <w:rtl w:val="0"/>
        </w:rPr>
      </w:r>
    </w:p>
    <w:p w:rsidR="00000000" w:rsidDel="00000000" w:rsidP="00000000" w:rsidRDefault="00000000" w:rsidRPr="00000000" w14:paraId="0000002A">
      <w:pPr>
        <w:spacing w:line="240" w:lineRule="auto"/>
        <w:contextualSpacing w:val="0"/>
        <w:rPr/>
      </w:pPr>
      <w:r w:rsidDel="00000000" w:rsidR="00000000" w:rsidRPr="00000000">
        <w:rPr>
          <w:rtl w:val="0"/>
        </w:rPr>
        <w:t xml:space="preserve">1. Research locations (archives, library, recorder’s office, etc)</w:t>
      </w:r>
    </w:p>
    <w:p w:rsidR="00000000" w:rsidDel="00000000" w:rsidP="00000000" w:rsidRDefault="00000000" w:rsidRPr="00000000" w14:paraId="0000002B">
      <w:pPr>
        <w:numPr>
          <w:ilvl w:val="0"/>
          <w:numId w:val="5"/>
        </w:numPr>
        <w:spacing w:line="240" w:lineRule="auto"/>
        <w:ind w:left="720" w:hanging="360"/>
        <w:contextualSpacing w:val="1"/>
        <w:rPr>
          <w:u w:val="none"/>
        </w:rPr>
      </w:pPr>
      <w:r w:rsidDel="00000000" w:rsidR="00000000" w:rsidRPr="00000000">
        <w:rPr>
          <w:rtl w:val="0"/>
        </w:rPr>
        <w:t xml:space="preserve">Bar Site</w:t>
      </w:r>
    </w:p>
    <w:p w:rsidR="00000000" w:rsidDel="00000000" w:rsidP="00000000" w:rsidRDefault="00000000" w:rsidRPr="00000000" w14:paraId="0000002C">
      <w:pPr>
        <w:spacing w:line="240" w:lineRule="auto"/>
        <w:contextualSpacing w:val="0"/>
        <w:rPr/>
      </w:pPr>
      <w:r w:rsidDel="00000000" w:rsidR="00000000" w:rsidRPr="00000000">
        <w:rPr>
          <w:rtl w:val="0"/>
        </w:rPr>
        <w:t xml:space="preserve">2. Research notes</w:t>
      </w:r>
    </w:p>
    <w:p w:rsidR="00000000" w:rsidDel="00000000" w:rsidP="00000000" w:rsidRDefault="00000000" w:rsidRPr="00000000" w14:paraId="0000002D">
      <w:pPr>
        <w:numPr>
          <w:ilvl w:val="0"/>
          <w:numId w:val="8"/>
        </w:numPr>
        <w:spacing w:line="240" w:lineRule="auto"/>
        <w:ind w:left="720" w:hanging="360"/>
        <w:contextualSpacing w:val="1"/>
        <w:rPr>
          <w:u w:val="none"/>
        </w:rPr>
      </w:pPr>
      <w:r w:rsidDel="00000000" w:rsidR="00000000" w:rsidRPr="00000000">
        <w:rPr>
          <w:rtl w:val="0"/>
        </w:rPr>
        <w:t xml:space="preserve">Owner took a while to email back but had no knowledge of the sign nor its origin</w:t>
      </w:r>
    </w:p>
    <w:p w:rsidR="00000000" w:rsidDel="00000000" w:rsidP="00000000" w:rsidRDefault="00000000" w:rsidRPr="00000000" w14:paraId="0000002E">
      <w:pPr>
        <w:spacing w:line="240" w:lineRule="auto"/>
        <w:contextualSpacing w:val="0"/>
        <w:rPr/>
      </w:pPr>
      <w:r w:rsidDel="00000000" w:rsidR="00000000" w:rsidRPr="00000000">
        <w:rPr>
          <w:rtl w:val="0"/>
        </w:rPr>
        <w:t xml:space="preserve">3. Any other relevant surveyor remarks</w:t>
      </w:r>
    </w:p>
    <w:p w:rsidR="00000000" w:rsidDel="00000000" w:rsidP="00000000" w:rsidRDefault="00000000" w:rsidRPr="00000000" w14:paraId="0000002F">
      <w:pPr>
        <w:numPr>
          <w:ilvl w:val="0"/>
          <w:numId w:val="18"/>
        </w:numPr>
        <w:spacing w:line="240" w:lineRule="auto"/>
        <w:ind w:left="720" w:hanging="360"/>
        <w:contextualSpacing w:val="1"/>
        <w:rPr>
          <w:u w:val="none"/>
        </w:rPr>
      </w:pPr>
      <w:r w:rsidDel="00000000" w:rsidR="00000000" w:rsidRPr="00000000">
        <w:rPr>
          <w:rtl w:val="0"/>
        </w:rPr>
        <w:t xml:space="preserve">N/A</w:t>
      </w:r>
    </w:p>
    <w:p w:rsidR="00000000" w:rsidDel="00000000" w:rsidP="00000000" w:rsidRDefault="00000000" w:rsidRPr="00000000" w14:paraId="00000030">
      <w:pPr>
        <w:spacing w:line="240" w:lineRule="auto"/>
        <w:contextualSpacing w:val="0"/>
        <w:rPr/>
      </w:pPr>
      <w:r w:rsidDel="00000000" w:rsidR="00000000" w:rsidRPr="00000000">
        <w:rPr>
          <w:rtl w:val="0"/>
        </w:rPr>
        <w:t xml:space="preserve">    </w:t>
      </w:r>
    </w:p>
    <w:p w:rsidR="00000000" w:rsidDel="00000000" w:rsidP="00000000" w:rsidRDefault="00000000" w:rsidRPr="00000000" w14:paraId="00000031">
      <w:pPr>
        <w:spacing w:line="240" w:lineRule="auto"/>
        <w:contextualSpacing w:val="0"/>
        <w:rPr/>
      </w:pPr>
      <w:r w:rsidDel="00000000" w:rsidR="00000000" w:rsidRPr="00000000">
        <w:rPr>
          <w:rtl w:val="0"/>
        </w:rPr>
      </w:r>
    </w:p>
    <w:p w:rsidR="00000000" w:rsidDel="00000000" w:rsidP="00000000" w:rsidRDefault="00000000" w:rsidRPr="00000000" w14:paraId="00000032">
      <w:pPr>
        <w:spacing w:line="240" w:lineRule="auto"/>
        <w:contextualSpacing w:val="0"/>
        <w:rPr/>
      </w:pPr>
      <w:r w:rsidDel="00000000" w:rsidR="00000000" w:rsidRPr="00000000">
        <w:rPr>
          <w:rtl w:val="0"/>
        </w:rPr>
        <w:t xml:space="preserve"> Danny Jacobs</w:t>
        <w:tab/>
        <w:tab/>
        <w:tab/>
        <w:tab/>
        <w:tab/>
        <w:tab/>
        <w:tab/>
        <w:t xml:space="preserve">8/12/2017</w:t>
      </w:r>
    </w:p>
    <w:p w:rsidR="00000000" w:rsidDel="00000000" w:rsidP="00000000" w:rsidRDefault="00000000" w:rsidRPr="00000000" w14:paraId="00000033">
      <w:pPr>
        <w:spacing w:line="240" w:lineRule="auto"/>
        <w:contextualSpacing w:val="0"/>
        <w:rPr>
          <w:b w:val="1"/>
        </w:rPr>
      </w:pPr>
      <w:r w:rsidDel="00000000" w:rsidR="00000000" w:rsidRPr="00000000">
        <w:rPr>
          <w:b w:val="1"/>
          <w:rtl w:val="0"/>
        </w:rPr>
        <w:t xml:space="preserve">Surveyor </w:t>
        <w:tab/>
        <w:tab/>
        <w:tab/>
        <w:tab/>
        <w:tab/>
        <w:tab/>
        <w:tab/>
        <w:t xml:space="preserve">Date</w:t>
      </w:r>
    </w:p>
    <w:p w:rsidR="00000000" w:rsidDel="00000000" w:rsidP="00000000" w:rsidRDefault="00000000" w:rsidRPr="00000000" w14:paraId="00000034">
      <w:pPr>
        <w:spacing w:line="240" w:lineRule="auto"/>
        <w:contextualSpacing w:val="0"/>
        <w:rPr>
          <w:b w:val="1"/>
        </w:rPr>
      </w:pPr>
      <w:r w:rsidDel="00000000" w:rsidR="00000000" w:rsidRPr="00000000">
        <w:rPr>
          <w:rtl w:val="0"/>
        </w:rPr>
      </w:r>
    </w:p>
    <w:p w:rsidR="00000000" w:rsidDel="00000000" w:rsidP="00000000" w:rsidRDefault="00000000" w:rsidRPr="00000000" w14:paraId="00000035">
      <w:pPr>
        <w:spacing w:line="240" w:lineRule="auto"/>
        <w:contextualSpacing w:val="0"/>
        <w:rPr>
          <w:b w:val="1"/>
        </w:rPr>
      </w:pPr>
      <w:r w:rsidDel="00000000" w:rsidR="00000000" w:rsidRPr="00000000">
        <w:rPr>
          <w:b w:val="1"/>
          <w:rtl w:val="0"/>
        </w:rPr>
        <w:t xml:space="preserve">*Please attach a map from the assessor’s site when possible.</w:t>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